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600" w:lineRule="atLeast"/>
        <w:jc w:val="center"/>
        <w:rPr>
          <w:rFonts w:hint="eastAsia" w:ascii="黑体" w:hAnsi="黑体" w:eastAsia="黑体" w:cs="Times New Roman"/>
          <w:b/>
          <w:bCs/>
          <w:color w:val="000000"/>
          <w:kern w:val="0"/>
          <w:sz w:val="44"/>
          <w:szCs w:val="44"/>
          <w:highlight w:val="none"/>
        </w:rPr>
      </w:pPr>
      <w:r>
        <w:rPr>
          <w:rFonts w:hint="eastAsia" w:ascii="黑体" w:hAnsi="黑体" w:eastAsia="黑体" w:cs="Times New Roman"/>
          <w:b/>
          <w:bCs/>
          <w:color w:val="000000"/>
          <w:kern w:val="0"/>
          <w:sz w:val="44"/>
          <w:szCs w:val="44"/>
          <w:highlight w:val="none"/>
        </w:rPr>
        <w:t>赣州市公安局交通警察支队202</w:t>
      </w:r>
      <w:r>
        <w:rPr>
          <w:rFonts w:hint="eastAsia" w:ascii="黑体" w:hAnsi="黑体" w:eastAsia="黑体" w:cs="Times New Roman"/>
          <w:b/>
          <w:bCs/>
          <w:color w:val="000000"/>
          <w:kern w:val="0"/>
          <w:sz w:val="44"/>
          <w:szCs w:val="44"/>
          <w:highlight w:val="none"/>
          <w:lang w:val="en-US" w:eastAsia="zh-CN"/>
        </w:rPr>
        <w:t>1</w:t>
      </w:r>
      <w:r>
        <w:rPr>
          <w:rFonts w:hint="eastAsia" w:ascii="黑体" w:hAnsi="黑体" w:eastAsia="黑体" w:cs="Times New Roman"/>
          <w:b/>
          <w:bCs/>
          <w:color w:val="000000"/>
          <w:kern w:val="0"/>
          <w:sz w:val="44"/>
          <w:szCs w:val="44"/>
          <w:highlight w:val="none"/>
        </w:rPr>
        <w:t>年</w:t>
      </w:r>
    </w:p>
    <w:p>
      <w:pPr>
        <w:pStyle w:val="5"/>
        <w:spacing w:line="600" w:lineRule="atLeast"/>
        <w:jc w:val="center"/>
        <w:rPr>
          <w:rFonts w:ascii="黑体" w:hAnsi="黑体" w:eastAsia="黑体"/>
          <w:color w:val="000000"/>
          <w:sz w:val="32"/>
          <w:szCs w:val="32"/>
          <w:highlight w:val="none"/>
        </w:rPr>
      </w:pPr>
      <w:r>
        <w:rPr>
          <w:rFonts w:hint="eastAsia" w:ascii="黑体" w:hAnsi="黑体" w:eastAsia="黑体" w:cs="Times New Roman"/>
          <w:b/>
          <w:bCs/>
          <w:color w:val="000000"/>
          <w:kern w:val="0"/>
          <w:sz w:val="44"/>
          <w:szCs w:val="44"/>
          <w:highlight w:val="none"/>
        </w:rPr>
        <w:t>部门预算</w:t>
      </w:r>
    </w:p>
    <w:p>
      <w:pPr>
        <w:pStyle w:val="5"/>
        <w:spacing w:line="600" w:lineRule="atLeast"/>
        <w:jc w:val="center"/>
        <w:rPr>
          <w:rFonts w:ascii="黑体" w:hAnsi="黑体" w:eastAsia="黑体"/>
          <w:color w:val="000000"/>
          <w:sz w:val="32"/>
          <w:szCs w:val="32"/>
          <w:highlight w:val="none"/>
        </w:rPr>
      </w:pPr>
      <w:r>
        <w:rPr>
          <w:rFonts w:hint="eastAsia" w:ascii="黑体" w:hAnsi="黑体" w:eastAsia="黑体"/>
          <w:color w:val="000000"/>
          <w:sz w:val="32"/>
          <w:szCs w:val="32"/>
          <w:highlight w:val="none"/>
        </w:rPr>
        <w:t>目    录</w:t>
      </w:r>
    </w:p>
    <w:p>
      <w:pPr>
        <w:pStyle w:val="5"/>
        <w:rPr>
          <w:rFonts w:ascii="宋体" w:hAnsi="宋体"/>
          <w:color w:val="000000"/>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MERGEFIELD ${page400644146.ds509943833_REP_JXJC_AGENCY_WZR_NAME}</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lang w:eastAsia="zh-CN"/>
        </w:rPr>
        <w:t>赣州市公安局交通警察支队</w:t>
      </w:r>
      <w:r>
        <w:rPr>
          <w:rFonts w:hint="eastAsia" w:ascii="仿宋_GB2312" w:hAnsi="仿宋_GB2312" w:eastAsia="仿宋_GB2312" w:cs="仿宋_GB2312"/>
          <w:b/>
          <w:bCs/>
          <w:sz w:val="32"/>
          <w:szCs w:val="32"/>
          <w:highlight w:val="none"/>
        </w:rPr>
        <w:fldChar w:fldCharType="end"/>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sz w:val="32"/>
          <w:szCs w:val="32"/>
          <w:highlight w:val="none"/>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 xml:space="preserve">第二部分  </w:t>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MERGEFIELD ${page400644146.ds509943833_REP_JXJC_AGENCY_WZR_NAME}</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lang w:eastAsia="zh-CN"/>
        </w:rPr>
        <w:t>赣州市公安局交通警察支队</w:t>
      </w:r>
      <w:r>
        <w:rPr>
          <w:rFonts w:hint="eastAsia" w:ascii="仿宋_GB2312" w:hAnsi="仿宋_GB2312" w:eastAsia="仿宋_GB2312" w:cs="仿宋_GB2312"/>
          <w:b/>
          <w:bCs/>
          <w:sz w:val="32"/>
          <w:szCs w:val="32"/>
          <w:highlight w:val="none"/>
        </w:rPr>
        <w:fldChar w:fldCharType="end"/>
      </w:r>
      <w:r>
        <w:rPr>
          <w:rFonts w:hint="eastAsia" w:ascii="仿宋_GB2312" w:hAnsi="仿宋_GB2312" w:eastAsia="仿宋_GB2312" w:cs="仿宋_GB2312"/>
          <w:b/>
          <w:bCs/>
          <w:sz w:val="32"/>
          <w:szCs w:val="32"/>
          <w:highlight w:val="none"/>
          <w:lang w:eastAsia="zh-CN"/>
        </w:rPr>
        <w:t>2021</w:t>
      </w:r>
      <w:r>
        <w:rPr>
          <w:rFonts w:hint="eastAsia" w:ascii="仿宋_GB2312" w:hAnsi="仿宋_GB2312" w:eastAsia="仿宋_GB2312" w:cs="仿宋_GB2312"/>
          <w:b/>
          <w:bCs/>
          <w:sz w:val="32"/>
          <w:szCs w:val="32"/>
          <w:highlight w:val="none"/>
        </w:rPr>
        <w:t>年部门预算表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一、《收支预算总表》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二、《部门收入总表》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三、《部门支出总表》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四、《财政拨款收支总表》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七、《一般公共预算“三公”经费支出表》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九</w:t>
      </w:r>
      <w:r>
        <w:rPr>
          <w:rFonts w:hint="eastAsia" w:ascii="仿宋_GB2312" w:hAnsi="仿宋_GB2312" w:eastAsia="仿宋_GB2312" w:cs="仿宋_GB2312"/>
          <w:sz w:val="32"/>
          <w:szCs w:val="32"/>
          <w:highlight w:val="none"/>
        </w:rPr>
        <w:t>、《重点项目绩效目标表》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 xml:space="preserve">第三部分 </w:t>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MERGEFIELD ${page400644146.ds509943833_REP_JXJC_AGENCY_WZR_NAME}</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lang w:eastAsia="zh-CN"/>
        </w:rPr>
        <w:t>赣州市公安局交通警察支队</w:t>
      </w:r>
      <w:r>
        <w:rPr>
          <w:rFonts w:hint="eastAsia" w:ascii="仿宋_GB2312" w:hAnsi="仿宋_GB2312" w:eastAsia="仿宋_GB2312" w:cs="仿宋_GB2312"/>
          <w:b/>
          <w:bCs/>
          <w:sz w:val="32"/>
          <w:szCs w:val="32"/>
          <w:highlight w:val="none"/>
        </w:rPr>
        <w:fldChar w:fldCharType="end"/>
      </w:r>
      <w:r>
        <w:rPr>
          <w:rFonts w:hint="eastAsia" w:ascii="仿宋_GB2312" w:hAnsi="仿宋_GB2312" w:eastAsia="仿宋_GB2312" w:cs="仿宋_GB2312"/>
          <w:b/>
          <w:bCs/>
          <w:sz w:val="32"/>
          <w:szCs w:val="32"/>
          <w:highlight w:val="none"/>
        </w:rPr>
        <w:t xml:space="preserve"> </w:t>
      </w:r>
      <w:r>
        <w:rPr>
          <w:rFonts w:hint="eastAsia" w:ascii="仿宋_GB2312" w:hAnsi="仿宋_GB2312" w:eastAsia="仿宋_GB2312" w:cs="仿宋_GB2312"/>
          <w:b/>
          <w:bCs/>
          <w:sz w:val="32"/>
          <w:szCs w:val="32"/>
          <w:highlight w:val="none"/>
          <w:lang w:eastAsia="zh-CN"/>
        </w:rPr>
        <w:t>2021</w:t>
      </w:r>
      <w:r>
        <w:rPr>
          <w:rFonts w:hint="eastAsia" w:ascii="仿宋_GB2312" w:hAnsi="仿宋_GB2312" w:eastAsia="仿宋_GB2312" w:cs="仿宋_GB2312"/>
          <w:b/>
          <w:bCs/>
          <w:sz w:val="32"/>
          <w:szCs w:val="32"/>
          <w:highlight w:val="none"/>
        </w:rPr>
        <w:t>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eastAsia="zh-CN"/>
        </w:rPr>
        <w:t>2021</w:t>
      </w:r>
      <w:r>
        <w:rPr>
          <w:rFonts w:hint="eastAsia" w:ascii="仿宋_GB2312" w:hAnsi="仿宋_GB2312" w:eastAsia="仿宋_GB2312" w:cs="仿宋_GB2312"/>
          <w:sz w:val="32"/>
          <w:szCs w:val="32"/>
          <w:highlight w:val="none"/>
        </w:rPr>
        <w:t>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eastAsia="zh-CN"/>
        </w:rPr>
        <w:t>2021</w:t>
      </w:r>
      <w:r>
        <w:rPr>
          <w:rFonts w:hint="eastAsia" w:ascii="仿宋_GB2312" w:hAnsi="仿宋_GB2312" w:eastAsia="仿宋_GB2312" w:cs="仿宋_GB2312"/>
          <w:sz w:val="32"/>
          <w:szCs w:val="32"/>
          <w:highlight w:val="none"/>
        </w:rPr>
        <w:t>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eastAsia="仿宋_GB2312"/>
          <w:b/>
          <w:sz w:val="32"/>
          <w:szCs w:val="30"/>
          <w:highlight w:val="none"/>
        </w:rPr>
      </w:pPr>
      <w:r>
        <w:rPr>
          <w:rFonts w:hint="eastAsia" w:ascii="仿宋_GB2312" w:hAnsi="仿宋_GB2312" w:eastAsia="仿宋_GB2312" w:cs="仿宋_GB2312"/>
          <w:b/>
          <w:bCs/>
          <w:sz w:val="32"/>
          <w:szCs w:val="32"/>
          <w:highlight w:val="none"/>
        </w:rPr>
        <w:t>第四部分  名词解释</w:t>
      </w:r>
    </w:p>
    <w:p>
      <w:pPr>
        <w:widowControl/>
        <w:spacing w:line="580" w:lineRule="exact"/>
        <w:jc w:val="center"/>
        <w:rPr>
          <w:rFonts w:ascii="仿宋_GB2312" w:eastAsia="仿宋_GB2312"/>
          <w:b/>
          <w:sz w:val="32"/>
          <w:szCs w:val="30"/>
          <w:highlight w:val="none"/>
        </w:rPr>
      </w:pPr>
      <w:r>
        <w:rPr>
          <w:rFonts w:hint="eastAsia" w:ascii="仿宋_GB2312" w:eastAsia="仿宋_GB2312"/>
          <w:b/>
          <w:sz w:val="32"/>
          <w:szCs w:val="30"/>
          <w:highlight w:val="none"/>
        </w:rPr>
        <w:t xml:space="preserve">第一部分  </w:t>
      </w:r>
      <w:r>
        <w:rPr>
          <w:rFonts w:ascii="仿宋_GB2312" w:eastAsia="仿宋_GB2312"/>
          <w:b/>
          <w:sz w:val="32"/>
          <w:szCs w:val="30"/>
          <w:highlight w:val="none"/>
        </w:rPr>
        <w:fldChar w:fldCharType="begin"/>
      </w:r>
      <w:r>
        <w:rPr>
          <w:rFonts w:ascii="仿宋_GB2312" w:eastAsia="仿宋_GB2312"/>
          <w:b/>
          <w:sz w:val="32"/>
          <w:szCs w:val="30"/>
          <w:highlight w:val="none"/>
        </w:rPr>
        <w:instrText xml:space="preserve">MERGEFIELD ${page400644146.ds509943833_REP_JXJC_AGENCY_WZR_NAME}</w:instrText>
      </w:r>
      <w:r>
        <w:rPr>
          <w:rFonts w:ascii="仿宋_GB2312" w:eastAsia="仿宋_GB2312"/>
          <w:b/>
          <w:sz w:val="32"/>
          <w:szCs w:val="30"/>
          <w:highlight w:val="none"/>
        </w:rPr>
        <w:fldChar w:fldCharType="separate"/>
      </w:r>
      <w:r>
        <w:rPr>
          <w:rFonts w:hint="eastAsia" w:ascii="仿宋_GB2312" w:eastAsia="仿宋_GB2312"/>
          <w:b/>
          <w:sz w:val="32"/>
          <w:szCs w:val="30"/>
          <w:highlight w:val="none"/>
          <w:lang w:eastAsia="zh-CN"/>
        </w:rPr>
        <w:t>赣州市公安局交通警察支队</w:t>
      </w:r>
      <w:r>
        <w:rPr>
          <w:highlight w:val="none"/>
        </w:rPr>
        <w:fldChar w:fldCharType="end"/>
      </w:r>
      <w:r>
        <w:rPr>
          <w:rFonts w:hint="eastAsia" w:ascii="仿宋_GB2312" w:eastAsia="仿宋_GB2312"/>
          <w:b/>
          <w:sz w:val="32"/>
          <w:szCs w:val="30"/>
          <w:highlight w:val="none"/>
        </w:rPr>
        <w:t>概况</w:t>
      </w:r>
    </w:p>
    <w:p>
      <w:pPr>
        <w:widowControl/>
        <w:spacing w:line="580" w:lineRule="exact"/>
        <w:jc w:val="left"/>
        <w:rPr>
          <w:rFonts w:ascii="宋体" w:hAnsi="宋体"/>
          <w:b/>
          <w:sz w:val="36"/>
          <w:szCs w:val="36"/>
          <w:highlight w:val="none"/>
        </w:rPr>
      </w:pPr>
    </w:p>
    <w:p>
      <w:pPr>
        <w:widowControl/>
        <w:spacing w:line="580" w:lineRule="exact"/>
        <w:ind w:firstLine="640" w:firstLineChars="200"/>
        <w:jc w:val="left"/>
        <w:rPr>
          <w:rFonts w:hint="eastAsia" w:ascii="楷体_GB2312" w:eastAsia="楷体_GB2312"/>
          <w:b/>
          <w:sz w:val="32"/>
          <w:szCs w:val="30"/>
          <w:highlight w:val="none"/>
        </w:rPr>
      </w:pPr>
      <w:r>
        <w:rPr>
          <w:rFonts w:hint="eastAsia" w:ascii="楷体_GB2312" w:eastAsia="楷体_GB2312"/>
          <w:b/>
          <w:sz w:val="32"/>
          <w:szCs w:val="30"/>
          <w:highlight w:val="none"/>
        </w:rPr>
        <w:t>一、部门主要职责</w:t>
      </w:r>
    </w:p>
    <w:p>
      <w:pPr>
        <w:widowControl/>
        <w:spacing w:line="580" w:lineRule="exact"/>
        <w:ind w:firstLine="640" w:firstLineChars="200"/>
        <w:jc w:val="left"/>
        <w:rPr>
          <w:rFonts w:hint="eastAsia"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组织、指导和监督全市公安交通管理部门查处道路交通违法行为和交通事故；组织、指导全市公安交通管理部门维护交通秩序、公路治安秩序、道路清障、驾驶员考核发证、年度审验与机动车辆发牌发证及安全检验、交通安全宣传教育等工作；组织、指导全市公安交通管理部门参与城市建设、道路交通和安全设施的规划；负责全市剧毒化学品跨区域道路运输路线的核准和通行证的审批。</w:t>
      </w:r>
    </w:p>
    <w:p>
      <w:pPr>
        <w:widowControl/>
        <w:spacing w:line="580" w:lineRule="exact"/>
        <w:ind w:firstLine="640" w:firstLineChars="200"/>
        <w:jc w:val="left"/>
        <w:rPr>
          <w:rFonts w:hint="eastAsia" w:ascii="Adobe 仿宋 Std R" w:hAnsi="Adobe 仿宋 Std R" w:eastAsia="Adobe 仿宋 Std R"/>
          <w:color w:val="auto"/>
          <w:sz w:val="32"/>
          <w:szCs w:val="32"/>
          <w:highlight w:val="none"/>
        </w:rPr>
      </w:pPr>
    </w:p>
    <w:p>
      <w:pPr>
        <w:widowControl/>
        <w:spacing w:line="580" w:lineRule="exact"/>
        <w:ind w:firstLine="640" w:firstLineChars="200"/>
        <w:jc w:val="left"/>
        <w:rPr>
          <w:rFonts w:hint="eastAsia" w:ascii="楷体_GB2312" w:eastAsia="楷体_GB2312"/>
          <w:b/>
          <w:sz w:val="32"/>
          <w:szCs w:val="30"/>
          <w:highlight w:val="none"/>
        </w:rPr>
      </w:pPr>
      <w:r>
        <w:rPr>
          <w:rFonts w:hint="eastAsia" w:ascii="楷体_GB2312" w:eastAsia="楷体_GB2312"/>
          <w:b/>
          <w:sz w:val="32"/>
          <w:szCs w:val="30"/>
          <w:highlight w:val="none"/>
        </w:rPr>
        <w:t>二、机构设置及人员情况</w:t>
      </w:r>
    </w:p>
    <w:p>
      <w:pPr>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2021年赣州市公安局交通警察支队共有预算单位</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个，</w:t>
      </w:r>
      <w:r>
        <w:rPr>
          <w:rFonts w:hint="eastAsia" w:ascii="仿宋" w:hAnsi="仿宋" w:eastAsia="仿宋"/>
          <w:color w:val="auto"/>
          <w:sz w:val="32"/>
          <w:szCs w:val="32"/>
          <w:highlight w:val="none"/>
          <w:lang w:eastAsia="zh-CN"/>
        </w:rPr>
        <w:t>包括</w:t>
      </w:r>
      <w:r>
        <w:rPr>
          <w:rFonts w:hint="eastAsia" w:ascii="仿宋" w:hAnsi="仿宋" w:eastAsia="仿宋"/>
          <w:color w:val="auto"/>
          <w:sz w:val="32"/>
          <w:szCs w:val="32"/>
          <w:highlight w:val="none"/>
          <w:lang w:eastAsia="zh-CN"/>
        </w:rPr>
        <w:fldChar w:fldCharType="begin"/>
      </w:r>
      <w:r>
        <w:rPr>
          <w:rFonts w:hint="eastAsia" w:ascii="仿宋" w:hAnsi="仿宋" w:eastAsia="仿宋"/>
          <w:color w:val="auto"/>
          <w:sz w:val="32"/>
          <w:szCs w:val="32"/>
          <w:highlight w:val="none"/>
          <w:lang w:eastAsia="zh-CN"/>
        </w:rPr>
        <w:instrText xml:space="preserve">MERGEFIELD ${page400644146.ds509943833_REP_JXJC_AGENCY_WZR_NAME}</w:instrText>
      </w:r>
      <w:r>
        <w:rPr>
          <w:rFonts w:hint="eastAsia" w:ascii="仿宋" w:hAnsi="仿宋" w:eastAsia="仿宋"/>
          <w:color w:val="auto"/>
          <w:sz w:val="32"/>
          <w:szCs w:val="32"/>
          <w:highlight w:val="none"/>
          <w:lang w:eastAsia="zh-CN"/>
        </w:rPr>
        <w:fldChar w:fldCharType="separate"/>
      </w:r>
      <w:r>
        <w:rPr>
          <w:rFonts w:hint="eastAsia" w:ascii="仿宋" w:hAnsi="仿宋" w:eastAsia="仿宋"/>
          <w:color w:val="auto"/>
          <w:sz w:val="32"/>
          <w:szCs w:val="32"/>
          <w:highlight w:val="none"/>
          <w:lang w:eastAsia="zh-CN"/>
        </w:rPr>
        <w:t>赣州市公安局交通警察支队</w:t>
      </w:r>
      <w:r>
        <w:rPr>
          <w:rFonts w:hint="eastAsia" w:ascii="仿宋" w:hAnsi="仿宋" w:eastAsia="仿宋"/>
          <w:color w:val="auto"/>
          <w:sz w:val="32"/>
          <w:szCs w:val="32"/>
          <w:highlight w:val="none"/>
          <w:lang w:eastAsia="zh-CN"/>
        </w:rPr>
        <w:fldChar w:fldCharType="end"/>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交警支队内设10个科（室），分别为办公室、政工科、交通秩序科、事故处理科、机动车辆管理科、驾驶员考试科、装备财务科、宣传教育科、交通指挥中心、交通科技科。</w:t>
      </w:r>
    </w:p>
    <w:p>
      <w:pPr>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编制人数小计</w:t>
      </w:r>
      <w:r>
        <w:rPr>
          <w:rFonts w:hint="eastAsia" w:ascii="仿宋" w:hAnsi="仿宋" w:eastAsia="仿宋"/>
          <w:color w:val="auto"/>
          <w:sz w:val="32"/>
          <w:szCs w:val="32"/>
          <w:highlight w:val="none"/>
          <w:lang w:val="en-US" w:eastAsia="zh-CN"/>
        </w:rPr>
        <w:t>81</w:t>
      </w:r>
      <w:r>
        <w:rPr>
          <w:rFonts w:hint="eastAsia" w:ascii="仿宋" w:hAnsi="仿宋" w:eastAsia="仿宋"/>
          <w:color w:val="auto"/>
          <w:sz w:val="32"/>
          <w:szCs w:val="32"/>
          <w:highlight w:val="none"/>
        </w:rPr>
        <w:t>人,其中：行政编制人数</w:t>
      </w:r>
      <w:r>
        <w:rPr>
          <w:rFonts w:hint="eastAsia" w:ascii="仿宋" w:hAnsi="仿宋" w:eastAsia="仿宋"/>
          <w:color w:val="auto"/>
          <w:sz w:val="32"/>
          <w:szCs w:val="32"/>
          <w:highlight w:val="none"/>
          <w:lang w:val="en-US" w:eastAsia="zh-CN"/>
        </w:rPr>
        <w:t>81</w:t>
      </w:r>
      <w:r>
        <w:rPr>
          <w:rFonts w:hint="eastAsia" w:ascii="仿宋" w:hAnsi="仿宋" w:eastAsia="仿宋"/>
          <w:color w:val="auto"/>
          <w:sz w:val="32"/>
          <w:szCs w:val="32"/>
          <w:highlight w:val="none"/>
        </w:rPr>
        <w:t>人,实有人数小计</w:t>
      </w:r>
      <w:r>
        <w:rPr>
          <w:rFonts w:hint="eastAsia" w:ascii="仿宋" w:hAnsi="仿宋" w:eastAsia="仿宋"/>
          <w:color w:val="auto"/>
          <w:sz w:val="32"/>
          <w:szCs w:val="32"/>
          <w:highlight w:val="none"/>
          <w:lang w:val="en-US" w:eastAsia="zh-CN"/>
        </w:rPr>
        <w:t>91</w:t>
      </w:r>
      <w:r>
        <w:rPr>
          <w:rFonts w:hint="eastAsia" w:ascii="仿宋" w:hAnsi="仿宋" w:eastAsia="仿宋"/>
          <w:color w:val="auto"/>
          <w:sz w:val="32"/>
          <w:szCs w:val="32"/>
          <w:highlight w:val="none"/>
        </w:rPr>
        <w:t>人,其中：在职人数小计</w:t>
      </w:r>
      <w:r>
        <w:rPr>
          <w:rFonts w:hint="eastAsia" w:ascii="仿宋" w:hAnsi="仿宋" w:eastAsia="仿宋"/>
          <w:color w:val="auto"/>
          <w:sz w:val="32"/>
          <w:szCs w:val="32"/>
          <w:highlight w:val="none"/>
          <w:lang w:val="en-US" w:eastAsia="zh-CN"/>
        </w:rPr>
        <w:t>91</w:t>
      </w:r>
      <w:r>
        <w:rPr>
          <w:rFonts w:hint="eastAsia" w:ascii="仿宋" w:hAnsi="仿宋" w:eastAsia="仿宋"/>
          <w:color w:val="auto"/>
          <w:sz w:val="32"/>
          <w:szCs w:val="32"/>
          <w:highlight w:val="none"/>
        </w:rPr>
        <w:t>人,行政在职人数</w:t>
      </w:r>
      <w:r>
        <w:rPr>
          <w:rFonts w:hint="eastAsia" w:ascii="仿宋" w:hAnsi="仿宋" w:eastAsia="仿宋"/>
          <w:color w:val="auto"/>
          <w:sz w:val="32"/>
          <w:szCs w:val="32"/>
          <w:highlight w:val="none"/>
          <w:lang w:val="en-US" w:eastAsia="zh-CN"/>
        </w:rPr>
        <w:t>91</w:t>
      </w:r>
      <w:r>
        <w:rPr>
          <w:rFonts w:hint="eastAsia" w:ascii="仿宋" w:hAnsi="仿宋" w:eastAsia="仿宋"/>
          <w:color w:val="auto"/>
          <w:sz w:val="32"/>
          <w:szCs w:val="32"/>
          <w:highlight w:val="none"/>
        </w:rPr>
        <w:t>人。离休人数小计0人,退休人数小计</w:t>
      </w:r>
      <w:r>
        <w:rPr>
          <w:rFonts w:hint="eastAsia" w:ascii="仿宋" w:hAnsi="仿宋" w:eastAsia="仿宋"/>
          <w:color w:val="auto"/>
          <w:sz w:val="32"/>
          <w:szCs w:val="32"/>
          <w:highlight w:val="none"/>
          <w:lang w:val="en-US" w:eastAsia="zh-CN"/>
        </w:rPr>
        <w:t>49</w:t>
      </w:r>
      <w:r>
        <w:rPr>
          <w:rFonts w:hint="eastAsia" w:ascii="仿宋" w:hAnsi="仿宋" w:eastAsia="仿宋"/>
          <w:color w:val="auto"/>
          <w:sz w:val="32"/>
          <w:szCs w:val="32"/>
          <w:highlight w:val="none"/>
        </w:rPr>
        <w:t>人,退职人员0人,遗属人数</w:t>
      </w:r>
      <w:r>
        <w:rPr>
          <w:rFonts w:hint="eastAsia" w:ascii="仿宋" w:hAnsi="仿宋" w:eastAsia="仿宋"/>
          <w:color w:val="auto"/>
          <w:sz w:val="32"/>
          <w:szCs w:val="32"/>
          <w:highlight w:val="none"/>
          <w:lang w:val="en-US" w:eastAsia="zh-CN"/>
        </w:rPr>
        <w:t>6</w:t>
      </w:r>
      <w:r>
        <w:rPr>
          <w:rFonts w:hint="eastAsia" w:ascii="仿宋" w:hAnsi="仿宋" w:eastAsia="仿宋"/>
          <w:color w:val="auto"/>
          <w:sz w:val="32"/>
          <w:szCs w:val="32"/>
          <w:highlight w:val="none"/>
        </w:rPr>
        <w:t>人。</w:t>
      </w:r>
    </w:p>
    <w:p>
      <w:pPr>
        <w:widowControl/>
        <w:spacing w:line="580" w:lineRule="exact"/>
        <w:jc w:val="center"/>
        <w:rPr>
          <w:rFonts w:ascii="仿宋_GB2312" w:eastAsia="仿宋_GB2312"/>
          <w:b/>
          <w:szCs w:val="30"/>
          <w:highlight w:val="none"/>
        </w:rPr>
      </w:pPr>
    </w:p>
    <w:p>
      <w:pPr>
        <w:widowControl/>
        <w:spacing w:line="580" w:lineRule="exact"/>
        <w:jc w:val="center"/>
        <w:rPr>
          <w:rFonts w:hint="eastAsia" w:ascii="仿宋_GB2312" w:eastAsia="仿宋_GB2312"/>
          <w:b/>
          <w:sz w:val="32"/>
          <w:szCs w:val="30"/>
          <w:highlight w:val="none"/>
        </w:rPr>
      </w:pPr>
      <w:r>
        <w:rPr>
          <w:rFonts w:hint="eastAsia" w:ascii="仿宋_GB2312" w:eastAsia="仿宋_GB2312"/>
          <w:b/>
          <w:sz w:val="32"/>
          <w:szCs w:val="30"/>
          <w:highlight w:val="none"/>
        </w:rPr>
        <w:t xml:space="preserve">第二部分  </w:t>
      </w:r>
      <w:r>
        <w:rPr>
          <w:rFonts w:ascii="仿宋_GB2312" w:eastAsia="仿宋_GB2312"/>
          <w:b/>
          <w:sz w:val="32"/>
          <w:szCs w:val="30"/>
          <w:highlight w:val="none"/>
        </w:rPr>
        <w:fldChar w:fldCharType="begin"/>
      </w:r>
      <w:r>
        <w:rPr>
          <w:rFonts w:ascii="仿宋_GB2312" w:eastAsia="仿宋_GB2312"/>
          <w:b/>
          <w:sz w:val="32"/>
          <w:szCs w:val="30"/>
          <w:highlight w:val="none"/>
        </w:rPr>
        <w:instrText xml:space="preserve">MERGEFIELD ${page400644146.ds509943833_REP_JXJC_AGENCY_WZR_NAME}</w:instrText>
      </w:r>
      <w:r>
        <w:rPr>
          <w:rFonts w:ascii="仿宋_GB2312" w:eastAsia="仿宋_GB2312"/>
          <w:b/>
          <w:sz w:val="32"/>
          <w:szCs w:val="30"/>
          <w:highlight w:val="none"/>
        </w:rPr>
        <w:fldChar w:fldCharType="separate"/>
      </w:r>
      <w:r>
        <w:rPr>
          <w:rFonts w:hint="eastAsia" w:ascii="仿宋_GB2312" w:eastAsia="仿宋_GB2312"/>
          <w:b/>
          <w:sz w:val="32"/>
          <w:szCs w:val="30"/>
          <w:highlight w:val="none"/>
          <w:lang w:eastAsia="zh-CN"/>
        </w:rPr>
        <w:t>赣州市公安局交通警察支队</w:t>
      </w:r>
      <w:r>
        <w:rPr>
          <w:highlight w:val="none"/>
        </w:rPr>
        <w:fldChar w:fldCharType="end"/>
      </w:r>
      <w:r>
        <w:rPr>
          <w:rFonts w:hint="eastAsia" w:ascii="仿宋_GB2312" w:eastAsia="仿宋_GB2312"/>
          <w:b/>
          <w:sz w:val="32"/>
          <w:szCs w:val="30"/>
          <w:highlight w:val="none"/>
          <w:lang w:eastAsia="zh-CN"/>
        </w:rPr>
        <w:t>2021</w:t>
      </w:r>
      <w:r>
        <w:rPr>
          <w:rFonts w:hint="eastAsia" w:ascii="仿宋_GB2312" w:eastAsia="仿宋_GB2312"/>
          <w:b/>
          <w:sz w:val="32"/>
          <w:szCs w:val="30"/>
          <w:highlight w:val="none"/>
        </w:rPr>
        <w:t>年部门预算表</w:t>
      </w:r>
    </w:p>
    <w:p>
      <w:pPr>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（详见附表）</w:t>
      </w:r>
    </w:p>
    <w:p>
      <w:pPr>
        <w:rPr>
          <w:rFonts w:hint="eastAsia" w:ascii="仿宋" w:hAnsi="仿宋" w:eastAsia="仿宋"/>
          <w:color w:val="auto"/>
          <w:sz w:val="32"/>
          <w:szCs w:val="32"/>
          <w:highlight w:val="none"/>
          <w:lang w:val="en-US" w:eastAsia="zh-CN"/>
        </w:rPr>
      </w:pPr>
    </w:p>
    <w:p>
      <w:pPr>
        <w:widowControl/>
        <w:numPr>
          <w:ilvl w:val="0"/>
          <w:numId w:val="1"/>
        </w:numPr>
        <w:spacing w:line="580" w:lineRule="exact"/>
        <w:jc w:val="center"/>
        <w:rPr>
          <w:rFonts w:hint="eastAsia" w:ascii="仿宋_GB2312" w:eastAsia="仿宋_GB2312"/>
          <w:b/>
          <w:sz w:val="32"/>
          <w:szCs w:val="30"/>
          <w:highlight w:val="none"/>
        </w:rPr>
      </w:pPr>
      <w:r>
        <w:rPr>
          <w:rFonts w:hint="eastAsia" w:ascii="仿宋_GB2312" w:eastAsia="仿宋_GB2312"/>
          <w:b/>
          <w:sz w:val="32"/>
          <w:szCs w:val="30"/>
          <w:highlight w:val="none"/>
        </w:rPr>
        <w:t xml:space="preserve"> </w:t>
      </w:r>
      <w:r>
        <w:rPr>
          <w:rFonts w:ascii="仿宋_GB2312" w:eastAsia="仿宋_GB2312"/>
          <w:b/>
          <w:sz w:val="32"/>
          <w:szCs w:val="30"/>
          <w:highlight w:val="none"/>
        </w:rPr>
        <w:fldChar w:fldCharType="begin"/>
      </w:r>
      <w:r>
        <w:rPr>
          <w:rFonts w:ascii="仿宋_GB2312" w:eastAsia="仿宋_GB2312"/>
          <w:b/>
          <w:sz w:val="32"/>
          <w:szCs w:val="30"/>
          <w:highlight w:val="none"/>
        </w:rPr>
        <w:instrText xml:space="preserve">MERGEFIELD ${page400644146.ds509943833_REP_JXJC_AGENCY_WZR_NAME}</w:instrText>
      </w:r>
      <w:r>
        <w:rPr>
          <w:rFonts w:ascii="仿宋_GB2312" w:eastAsia="仿宋_GB2312"/>
          <w:b/>
          <w:sz w:val="32"/>
          <w:szCs w:val="30"/>
          <w:highlight w:val="none"/>
        </w:rPr>
        <w:fldChar w:fldCharType="separate"/>
      </w:r>
      <w:r>
        <w:rPr>
          <w:rFonts w:hint="eastAsia" w:ascii="仿宋_GB2312" w:eastAsia="仿宋_GB2312"/>
          <w:b/>
          <w:sz w:val="32"/>
          <w:szCs w:val="30"/>
          <w:highlight w:val="none"/>
          <w:lang w:eastAsia="zh-CN"/>
        </w:rPr>
        <w:t>赣州市公安局交通警察支队</w:t>
      </w:r>
      <w:r>
        <w:rPr>
          <w:highlight w:val="none"/>
        </w:rPr>
        <w:fldChar w:fldCharType="end"/>
      </w:r>
      <w:r>
        <w:rPr>
          <w:rFonts w:hint="eastAsia" w:ascii="仿宋_GB2312" w:eastAsia="仿宋_GB2312"/>
          <w:b/>
          <w:sz w:val="32"/>
          <w:szCs w:val="30"/>
          <w:highlight w:val="none"/>
          <w:lang w:eastAsia="zh-CN"/>
        </w:rPr>
        <w:t>2021</w:t>
      </w:r>
      <w:r>
        <w:rPr>
          <w:rFonts w:hint="eastAsia" w:ascii="仿宋_GB2312" w:eastAsia="仿宋_GB2312"/>
          <w:b/>
          <w:sz w:val="32"/>
          <w:szCs w:val="30"/>
          <w:highlight w:val="none"/>
        </w:rPr>
        <w:t>年部门预算</w:t>
      </w:r>
    </w:p>
    <w:p>
      <w:pPr>
        <w:widowControl/>
        <w:numPr>
          <w:ilvl w:val="0"/>
          <w:numId w:val="1"/>
        </w:numPr>
        <w:spacing w:line="580" w:lineRule="exact"/>
        <w:jc w:val="center"/>
        <w:rPr>
          <w:rFonts w:ascii="仿宋_GB2312" w:eastAsia="仿宋_GB2312"/>
          <w:b/>
          <w:sz w:val="32"/>
          <w:szCs w:val="30"/>
          <w:highlight w:val="none"/>
        </w:rPr>
      </w:pPr>
      <w:r>
        <w:rPr>
          <w:rFonts w:hint="eastAsia" w:ascii="仿宋_GB2312" w:eastAsia="仿宋_GB2312"/>
          <w:b/>
          <w:sz w:val="32"/>
          <w:szCs w:val="30"/>
          <w:highlight w:val="none"/>
        </w:rPr>
        <w:t>情况说明</w:t>
      </w:r>
    </w:p>
    <w:p>
      <w:pPr>
        <w:widowControl/>
        <w:spacing w:line="580" w:lineRule="exact"/>
        <w:jc w:val="center"/>
        <w:rPr>
          <w:rFonts w:ascii="仿宋_GB2312" w:eastAsia="仿宋_GB2312"/>
          <w:b/>
          <w:sz w:val="32"/>
          <w:szCs w:val="30"/>
          <w:highlight w:val="none"/>
        </w:rPr>
      </w:pPr>
    </w:p>
    <w:p>
      <w:pPr>
        <w:widowControl/>
        <w:spacing w:line="580" w:lineRule="exact"/>
        <w:ind w:firstLine="640" w:firstLineChars="200"/>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2021</w:t>
      </w:r>
      <w:r>
        <w:rPr>
          <w:rFonts w:hint="eastAsia" w:ascii="楷体_GB2312" w:eastAsia="楷体_GB2312"/>
          <w:b/>
          <w:sz w:val="32"/>
          <w:szCs w:val="30"/>
        </w:rPr>
        <w:t>年部门预算收支情况说明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2021</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赣州市公安局交通警察支队</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9795.87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5431.69</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，主要原因为上年结转资金减少以及</w:t>
      </w:r>
      <w:r>
        <w:rPr>
          <w:rFonts w:hint="eastAsia" w:ascii="仿宋_GB2312" w:hAnsi="仿宋_GB2312" w:eastAsia="仿宋_GB2312" w:cs="仿宋_GB2312"/>
          <w:b w:val="0"/>
          <w:bCs w:val="0"/>
          <w:color w:val="auto"/>
          <w:kern w:val="0"/>
          <w:sz w:val="32"/>
          <w:szCs w:val="32"/>
          <w:lang w:val="en-US" w:eastAsia="zh-CN"/>
        </w:rPr>
        <w:t>项目预算支出减少</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9476.93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4273.52</w:t>
      </w:r>
      <w:r>
        <w:rPr>
          <w:rFonts w:ascii="仿宋" w:hAnsi="仿宋" w:eastAsia="仿宋" w:cs="Times New Roman"/>
          <w:kern w:val="0"/>
          <w:sz w:val="32"/>
          <w:szCs w:val="32"/>
        </w:rPr>
        <w:t>万元;国库集中支付网上结转</w:t>
      </w:r>
      <w:r>
        <w:rPr>
          <w:rFonts w:hint="eastAsia" w:ascii="仿宋" w:hAnsi="仿宋" w:eastAsia="仿宋" w:cs="Times New Roman"/>
          <w:kern w:val="0"/>
          <w:sz w:val="32"/>
          <w:szCs w:val="32"/>
          <w:lang w:val="en-US" w:eastAsia="zh-CN"/>
        </w:rPr>
        <w:t>318.94</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1158.17</w:t>
      </w:r>
      <w:r>
        <w:rPr>
          <w:rFonts w:ascii="仿宋" w:hAnsi="仿宋" w:eastAsia="仿宋" w:cs="Times New Roman"/>
          <w:kern w:val="0"/>
          <w:sz w:val="32"/>
          <w:szCs w:val="32"/>
        </w:rPr>
        <w:t>万元。</w:t>
      </w:r>
      <w:r>
        <w:fldChar w:fldCharType="end"/>
      </w:r>
    </w:p>
    <w:p>
      <w:pPr>
        <w:ind w:firstLine="320" w:firstLineChars="100"/>
        <w:rPr>
          <w:rStyle w:val="6"/>
          <w:rFonts w:hint="eastAsia" w:ascii="仿宋_GB2312" w:hAnsi="仿宋_GB2312" w:eastAsia="仿宋_GB2312" w:cs="仿宋_GB2312"/>
          <w:b/>
          <w:sz w:val="32"/>
          <w:szCs w:val="32"/>
        </w:rPr>
      </w:pPr>
      <w:r>
        <w:rPr>
          <w:rStyle w:val="6"/>
          <w:rFonts w:hint="eastAsia" w:ascii="仿宋_GB2312" w:hAnsi="仿宋_GB2312" w:eastAsia="仿宋_GB2312" w:cs="仿宋_GB2312"/>
          <w:b/>
          <w:sz w:val="32"/>
          <w:szCs w:val="32"/>
        </w:rPr>
        <w:t xml:space="preserve"> (二)支出预算情况</w:t>
      </w:r>
    </w:p>
    <w:p>
      <w:pPr>
        <w:ind w:firstLine="640" w:firstLineChars="200"/>
        <w:rPr>
          <w:rFonts w:hint="eastAsia" w:ascii="仿宋_GB2312" w:hAnsi="仿宋_GB2312" w:eastAsia="仿宋_GB2312" w:cs="仿宋_GB2312"/>
          <w:b w:val="0"/>
          <w:bCs w:val="0"/>
          <w:color w:val="auto"/>
          <w:kern w:val="0"/>
          <w:sz w:val="32"/>
          <w:szCs w:val="32"/>
          <w:lang w:val="en-US" w:eastAsia="zh-CN"/>
        </w:rPr>
      </w:pPr>
      <w:r>
        <w:rPr>
          <w:rFonts w:hint="eastAsia" w:ascii="仿宋" w:hAnsi="仿宋" w:eastAsia="仿宋" w:cs="Times New Roman"/>
          <w:kern w:val="0"/>
          <w:sz w:val="32"/>
          <w:szCs w:val="32"/>
          <w:lang w:eastAsia="zh-CN"/>
        </w:rPr>
        <w:t>2021</w:t>
      </w:r>
      <w:r>
        <w:rPr>
          <w:rStyle w:val="6"/>
          <w:rFonts w:hint="eastAsia" w:ascii="仿宋_GB2312" w:hAnsi="仿宋_GB2312" w:eastAsia="仿宋_GB2312" w:cs="仿宋_GB2312"/>
          <w:sz w:val="32"/>
          <w:szCs w:val="32"/>
          <w:lang w:eastAsia="zh-CN"/>
        </w:rPr>
        <w:t>年赣州市公安局交通警察支队支出预算总额为</w:t>
      </w:r>
      <w:r>
        <w:rPr>
          <w:rFonts w:hint="eastAsia" w:ascii="仿宋" w:hAnsi="仿宋" w:eastAsia="仿宋" w:cs="Times New Roman"/>
          <w:kern w:val="0"/>
          <w:sz w:val="32"/>
          <w:szCs w:val="32"/>
          <w:lang w:val="en-US" w:eastAsia="zh-CN"/>
        </w:rPr>
        <w:t>9795.87</w:t>
      </w:r>
      <w:r>
        <w:rPr>
          <w:rStyle w:val="6"/>
          <w:rFonts w:hint="eastAsia" w:ascii="仿宋_GB2312" w:hAnsi="仿宋_GB2312" w:eastAsia="仿宋_GB2312" w:cs="仿宋_GB2312"/>
          <w:sz w:val="32"/>
          <w:szCs w:val="32"/>
          <w:lang w:eastAsia="zh-CN"/>
        </w:rPr>
        <w:t>万元,较上年预算安排减少</w:t>
      </w:r>
      <w:r>
        <w:rPr>
          <w:rFonts w:hint="eastAsia" w:ascii="仿宋" w:hAnsi="仿宋" w:eastAsia="仿宋" w:cs="Times New Roman"/>
          <w:kern w:val="0"/>
          <w:sz w:val="32"/>
          <w:szCs w:val="32"/>
          <w:lang w:val="en-US" w:eastAsia="zh-CN"/>
        </w:rPr>
        <w:t>5431.69</w:t>
      </w:r>
      <w:r>
        <w:rPr>
          <w:rStyle w:val="6"/>
          <w:rFonts w:hint="eastAsia" w:ascii="仿宋_GB2312" w:hAnsi="仿宋_GB2312" w:eastAsia="仿宋_GB2312" w:cs="仿宋_GB2312"/>
          <w:sz w:val="32"/>
          <w:szCs w:val="32"/>
          <w:lang w:eastAsia="zh-CN"/>
        </w:rPr>
        <w:t>万元,</w:t>
      </w:r>
      <w:r>
        <w:rPr>
          <w:rFonts w:hint="eastAsia" w:ascii="仿宋_GB2312" w:hAnsi="仿宋_GB2312" w:eastAsia="仿宋_GB2312" w:cs="仿宋_GB2312"/>
          <w:b w:val="0"/>
          <w:bCs w:val="0"/>
          <w:color w:val="auto"/>
          <w:kern w:val="0"/>
          <w:sz w:val="32"/>
          <w:szCs w:val="32"/>
          <w:lang w:val="en-US" w:eastAsia="zh-CN"/>
        </w:rPr>
        <w:t>主要是项目预算支出减少。</w:t>
      </w:r>
    </w:p>
    <w:p>
      <w:pPr>
        <w:ind w:firstLine="640" w:firstLineChars="200"/>
        <w:rPr>
          <w:rStyle w:val="6"/>
          <w:rFonts w:hint="eastAsia" w:ascii="仿宋_GB2312" w:hAnsi="仿宋_GB2312" w:eastAsia="仿宋_GB2312" w:cs="仿宋_GB2312"/>
          <w:sz w:val="32"/>
          <w:szCs w:val="32"/>
          <w:lang w:eastAsia="zh-CN"/>
        </w:rPr>
      </w:pPr>
      <w:r>
        <w:rPr>
          <w:rStyle w:val="6"/>
          <w:rFonts w:hint="eastAsia" w:ascii="仿宋_GB2312" w:hAnsi="仿宋_GB2312" w:eastAsia="仿宋_GB2312" w:cs="仿宋_GB2312"/>
          <w:sz w:val="32"/>
          <w:szCs w:val="32"/>
          <w:lang w:val="en-US" w:eastAsia="zh-CN"/>
        </w:rPr>
        <w:t>按支出项目划分</w:t>
      </w:r>
      <w:r>
        <w:rPr>
          <w:rStyle w:val="6"/>
          <w:rFonts w:hint="eastAsia" w:ascii="仿宋_GB2312" w:hAnsi="仿宋_GB2312" w:eastAsia="仿宋_GB2312" w:cs="仿宋_GB2312"/>
          <w:sz w:val="32"/>
          <w:szCs w:val="32"/>
          <w:lang w:eastAsia="zh-CN"/>
        </w:rPr>
        <w:t>：基本支出</w:t>
      </w:r>
      <w:r>
        <w:rPr>
          <w:rFonts w:hint="eastAsia" w:ascii="仿宋" w:hAnsi="仿宋" w:eastAsia="仿宋" w:cs="Times New Roman"/>
          <w:kern w:val="0"/>
          <w:sz w:val="32"/>
          <w:szCs w:val="32"/>
          <w:lang w:val="en-US" w:eastAsia="zh-CN"/>
        </w:rPr>
        <w:t>4177.95</w:t>
      </w:r>
      <w:r>
        <w:rPr>
          <w:rStyle w:val="6"/>
          <w:rFonts w:hint="eastAsia" w:ascii="仿宋_GB2312" w:hAnsi="仿宋_GB2312" w:eastAsia="仿宋_GB2312" w:cs="仿宋_GB2312"/>
          <w:sz w:val="32"/>
          <w:szCs w:val="32"/>
          <w:lang w:eastAsia="zh-CN"/>
        </w:rPr>
        <w:t>万元，项目支出</w:t>
      </w:r>
      <w:r>
        <w:rPr>
          <w:rFonts w:hint="eastAsia" w:ascii="仿宋" w:hAnsi="仿宋" w:eastAsia="仿宋" w:cs="Times New Roman"/>
          <w:kern w:val="0"/>
          <w:sz w:val="32"/>
          <w:szCs w:val="32"/>
          <w:lang w:val="en-US" w:eastAsia="zh-CN"/>
        </w:rPr>
        <w:t>5617.92</w:t>
      </w:r>
      <w:r>
        <w:rPr>
          <w:rStyle w:val="6"/>
          <w:rFonts w:hint="eastAsia" w:ascii="仿宋_GB2312" w:hAnsi="仿宋_GB2312" w:eastAsia="仿宋_GB2312" w:cs="仿宋_GB2312"/>
          <w:sz w:val="32"/>
          <w:szCs w:val="32"/>
          <w:lang w:eastAsia="zh-CN"/>
        </w:rPr>
        <w:t>万元。</w:t>
      </w:r>
    </w:p>
    <w:p>
      <w:pPr>
        <w:ind w:firstLine="640" w:firstLineChars="200"/>
        <w:rPr>
          <w:rStyle w:val="6"/>
          <w:rFonts w:hint="eastAsia" w:ascii="仿宋_GB2312" w:hAnsi="仿宋_GB2312" w:eastAsia="仿宋_GB2312" w:cs="仿宋_GB2312"/>
          <w:sz w:val="32"/>
          <w:szCs w:val="32"/>
          <w:lang w:eastAsia="zh-CN"/>
        </w:rPr>
      </w:pPr>
      <w:r>
        <w:rPr>
          <w:rStyle w:val="6"/>
          <w:rFonts w:hint="eastAsia" w:ascii="仿宋_GB2312" w:hAnsi="仿宋_GB2312" w:eastAsia="仿宋_GB2312" w:cs="仿宋_GB2312"/>
          <w:sz w:val="32"/>
          <w:szCs w:val="32"/>
          <w:lang w:eastAsia="zh-CN"/>
        </w:rPr>
        <w:t>按支出功能科目划分：</w:t>
      </w:r>
      <w:r>
        <w:rPr>
          <w:rStyle w:val="6"/>
          <w:rFonts w:hint="default" w:ascii="仿宋_GB2312" w:hAnsi="仿宋_GB2312" w:eastAsia="仿宋_GB2312" w:cs="仿宋_GB2312"/>
          <w:sz w:val="32"/>
          <w:szCs w:val="32"/>
          <w:lang w:val="en-US" w:eastAsia="zh-CN"/>
        </w:rPr>
        <w:t>公共安全支出</w:t>
      </w:r>
      <w:r>
        <w:rPr>
          <w:rFonts w:hint="eastAsia" w:ascii="仿宋" w:hAnsi="仿宋" w:eastAsia="仿宋" w:cs="Times New Roman"/>
          <w:kern w:val="0"/>
          <w:sz w:val="32"/>
          <w:szCs w:val="32"/>
          <w:lang w:val="en-US" w:eastAsia="zh-CN"/>
        </w:rPr>
        <w:t>9795.87</w:t>
      </w:r>
      <w:r>
        <w:rPr>
          <w:rStyle w:val="6"/>
          <w:rFonts w:hint="default" w:ascii="仿宋_GB2312" w:hAnsi="仿宋_GB2312" w:eastAsia="仿宋_GB2312" w:cs="仿宋_GB2312"/>
          <w:sz w:val="32"/>
          <w:szCs w:val="32"/>
          <w:lang w:eastAsia="zh-CN"/>
        </w:rPr>
        <w:t>万元</w:t>
      </w:r>
      <w:r>
        <w:rPr>
          <w:rStyle w:val="6"/>
          <w:rFonts w:hint="eastAsia" w:ascii="仿宋_GB2312" w:hAnsi="仿宋_GB2312" w:eastAsia="仿宋_GB2312" w:cs="仿宋_GB2312"/>
          <w:sz w:val="32"/>
          <w:szCs w:val="32"/>
          <w:lang w:eastAsia="zh-CN"/>
        </w:rPr>
        <w:t>。</w:t>
      </w:r>
    </w:p>
    <w:p>
      <w:pPr>
        <w:ind w:firstLine="320" w:firstLineChars="100"/>
        <w:rPr>
          <w:rStyle w:val="6"/>
          <w:rFonts w:hint="eastAsia" w:ascii="仿宋_GB2312" w:hAnsi="仿宋_GB2312" w:eastAsia="仿宋_GB2312" w:cs="仿宋_GB2312"/>
          <w:b/>
          <w:sz w:val="32"/>
          <w:szCs w:val="32"/>
        </w:rPr>
      </w:pPr>
      <w:r>
        <w:rPr>
          <w:rStyle w:val="6"/>
          <w:rFonts w:hint="eastAsia" w:ascii="仿宋_GB2312" w:hAnsi="仿宋_GB2312" w:eastAsia="仿宋_GB2312" w:cs="仿宋_GB2312"/>
          <w:b/>
          <w:sz w:val="32"/>
          <w:szCs w:val="32"/>
        </w:rPr>
        <w:t>(三)财政拨款支出情况</w:t>
      </w:r>
    </w:p>
    <w:p>
      <w:pPr>
        <w:ind w:firstLine="640" w:firstLineChars="200"/>
        <w:rPr>
          <w:rStyle w:val="6"/>
          <w:rFonts w:ascii="仿宋" w:hAnsi="仿宋" w:eastAsia="仿宋"/>
          <w:sz w:val="32"/>
          <w:szCs w:val="32"/>
        </w:rPr>
      </w:pPr>
      <w:r>
        <w:rPr>
          <w:rFonts w:hint="eastAsia" w:ascii="仿宋" w:hAnsi="仿宋" w:eastAsia="仿宋" w:cs="Times New Roman"/>
          <w:kern w:val="0"/>
          <w:sz w:val="32"/>
          <w:szCs w:val="32"/>
          <w:lang w:eastAsia="zh-CN"/>
        </w:rPr>
        <w:t>2021</w:t>
      </w:r>
      <w:r>
        <w:rPr>
          <w:rStyle w:val="6"/>
          <w:rFonts w:hint="eastAsia" w:ascii="仿宋_GB2312" w:hAnsi="仿宋_GB2312" w:eastAsia="仿宋_GB2312" w:cs="仿宋_GB2312"/>
          <w:sz w:val="32"/>
          <w:szCs w:val="32"/>
          <w:lang w:eastAsia="zh-CN"/>
        </w:rPr>
        <w:t>年赣州市公安局交通警察支队财政拨款支出预算总额为</w:t>
      </w:r>
      <w:r>
        <w:rPr>
          <w:rFonts w:hint="eastAsia" w:ascii="仿宋" w:hAnsi="仿宋" w:eastAsia="仿宋" w:cs="Times New Roman"/>
          <w:kern w:val="0"/>
          <w:sz w:val="32"/>
          <w:szCs w:val="32"/>
          <w:lang w:val="en-US" w:eastAsia="zh-CN"/>
        </w:rPr>
        <w:t>9476.93</w:t>
      </w:r>
      <w:r>
        <w:rPr>
          <w:rStyle w:val="6"/>
          <w:rFonts w:hint="eastAsia" w:ascii="仿宋_GB2312" w:hAnsi="仿宋_GB2312" w:eastAsia="仿宋_GB2312" w:cs="仿宋_GB2312"/>
          <w:sz w:val="32"/>
          <w:szCs w:val="32"/>
          <w:lang w:eastAsia="zh-CN"/>
        </w:rPr>
        <w:t>万元，</w:t>
      </w:r>
      <w:r>
        <w:rPr>
          <w:rStyle w:val="6"/>
          <w:rFonts w:hint="eastAsia" w:ascii="仿宋_GB2312" w:hAnsi="仿宋_GB2312" w:eastAsia="仿宋_GB2312" w:cs="仿宋_GB2312"/>
          <w:sz w:val="32"/>
          <w:szCs w:val="32"/>
          <w:lang w:val="en-US" w:eastAsia="zh-CN"/>
        </w:rPr>
        <w:t>其中：</w:t>
      </w:r>
      <w:r>
        <w:rPr>
          <w:rStyle w:val="6"/>
          <w:rFonts w:hint="eastAsia" w:ascii="仿宋_GB2312" w:hAnsi="仿宋_GB2312" w:eastAsia="仿宋_GB2312" w:cs="仿宋_GB2312"/>
          <w:sz w:val="32"/>
          <w:szCs w:val="32"/>
          <w:lang w:eastAsia="zh-CN"/>
        </w:rPr>
        <w:t>按支出功能科目划分：公共安全支出</w:t>
      </w:r>
      <w:r>
        <w:rPr>
          <w:rFonts w:hint="eastAsia" w:ascii="仿宋" w:hAnsi="仿宋" w:eastAsia="仿宋" w:cs="Times New Roman"/>
          <w:kern w:val="0"/>
          <w:sz w:val="32"/>
          <w:szCs w:val="32"/>
          <w:lang w:val="en-US" w:eastAsia="zh-CN"/>
        </w:rPr>
        <w:t>9476.93</w:t>
      </w:r>
      <w:r>
        <w:rPr>
          <w:rStyle w:val="6"/>
          <w:rFonts w:hint="eastAsia" w:ascii="仿宋_GB2312" w:hAnsi="仿宋_GB2312" w:eastAsia="仿宋_GB2312" w:cs="仿宋_GB2312"/>
          <w:sz w:val="32"/>
          <w:szCs w:val="32"/>
          <w:lang w:eastAsia="zh-CN"/>
        </w:rPr>
        <w:t>万元。</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ascii="仿宋" w:hAnsi="仿宋" w:eastAsia="仿宋"/>
          <w:sz w:val="32"/>
          <w:szCs w:val="32"/>
        </w:rPr>
      </w:pPr>
      <w:r>
        <w:rPr>
          <w:rFonts w:hint="eastAsia" w:ascii="仿宋" w:hAnsi="仿宋" w:eastAsia="仿宋" w:cs="Times New Roman"/>
          <w:kern w:val="0"/>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eastAsia="zh-CN"/>
        </w:rPr>
        <w:t>赣州市公安局交通警察支队</w:t>
      </w:r>
      <w:r>
        <w:rPr>
          <w:rStyle w:val="6"/>
          <w:rFonts w:hint="eastAsia" w:ascii="仿宋" w:hAnsi="仿宋" w:eastAsia="仿宋"/>
          <w:sz w:val="32"/>
          <w:szCs w:val="32"/>
        </w:rPr>
        <w:t>没有使用政府性基金预算拨款安排的支出</w:t>
      </w:r>
      <w:r>
        <w:rPr>
          <w:rFonts w:hint="eastAsia" w:ascii="Adobe 仿宋 Std R" w:hAnsi="Adobe 仿宋 Std R" w:eastAsia="Adobe 仿宋 Std R"/>
          <w:sz w:val="32"/>
          <w:szCs w:val="32"/>
        </w:rPr>
        <w:t>。</w:t>
      </w:r>
    </w:p>
    <w:p>
      <w:pPr>
        <w:ind w:firstLine="320" w:firstLineChars="1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ind w:firstLine="640" w:firstLineChars="200"/>
        <w:rPr>
          <w:rStyle w:val="6"/>
          <w:rFonts w:ascii="仿宋" w:hAnsi="仿宋" w:eastAsia="仿宋"/>
          <w:sz w:val="32"/>
          <w:szCs w:val="32"/>
        </w:rPr>
      </w:pPr>
      <w:r>
        <w:rPr>
          <w:rFonts w:hint="eastAsia" w:ascii="仿宋" w:hAnsi="仿宋" w:eastAsia="仿宋" w:cs="Times New Roman"/>
          <w:kern w:val="0"/>
          <w:sz w:val="32"/>
          <w:szCs w:val="32"/>
          <w:lang w:eastAsia="zh-CN"/>
        </w:rPr>
        <w:t>2021</w:t>
      </w:r>
      <w:r>
        <w:rPr>
          <w:rStyle w:val="6"/>
          <w:rFonts w:hint="eastAsia" w:ascii="仿宋" w:hAnsi="仿宋" w:eastAsia="仿宋"/>
          <w:sz w:val="32"/>
          <w:szCs w:val="32"/>
        </w:rPr>
        <w:t>年</w:t>
      </w:r>
      <w:r>
        <w:rPr>
          <w:rFonts w:hint="eastAsia" w:ascii="仿宋" w:hAnsi="仿宋" w:eastAsia="仿宋" w:cs="Times New Roman"/>
          <w:kern w:val="0"/>
          <w:sz w:val="32"/>
          <w:szCs w:val="32"/>
          <w:lang w:eastAsia="zh-CN"/>
        </w:rPr>
        <w:t>赣州市公安局交通警察支队</w:t>
      </w:r>
      <w:r>
        <w:rPr>
          <w:rStyle w:val="6"/>
          <w:rFonts w:hint="eastAsia" w:ascii="仿宋" w:hAnsi="仿宋" w:eastAsia="仿宋"/>
          <w:sz w:val="32"/>
          <w:szCs w:val="32"/>
        </w:rPr>
        <w:t>没有使用国有资本经营预算拨款安排的支出</w:t>
      </w:r>
      <w:r>
        <w:rPr>
          <w:rFonts w:hint="eastAsia" w:ascii="Adobe 仿宋 Std R" w:hAnsi="Adobe 仿宋 Std R" w:eastAsia="Adobe 仿宋 Std R"/>
          <w:sz w:val="32"/>
          <w:szCs w:val="32"/>
        </w:rPr>
        <w:t>。</w:t>
      </w:r>
    </w:p>
    <w:p>
      <w:pPr>
        <w:ind w:firstLine="320" w:firstLineChars="100"/>
        <w:rPr>
          <w:rStyle w:val="6"/>
          <w:rFonts w:ascii="Adobe 仿宋 Std R" w:hAnsi="Adobe 仿宋 Std R" w:eastAsia="Adobe 仿宋 Std R"/>
          <w:b/>
          <w:sz w:val="32"/>
          <w:szCs w:val="32"/>
        </w:rPr>
      </w:pPr>
      <w:r>
        <w:rPr>
          <w:rStyle w:val="6"/>
          <w:rFonts w:hint="eastAsia" w:ascii="宋体" w:hAnsi="宋体" w:eastAsia="宋体"/>
          <w:b/>
          <w:sz w:val="32"/>
          <w:szCs w:val="32"/>
        </w:rPr>
        <w:t xml:space="preserve"> </w:t>
      </w:r>
      <w:r>
        <w:rPr>
          <w:rStyle w:val="6"/>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Fonts w:hint="eastAsia" w:ascii="仿宋" w:hAnsi="仿宋" w:eastAsia="仿宋" w:cs="Times New Roman"/>
          <w:kern w:val="0"/>
          <w:sz w:val="32"/>
          <w:szCs w:val="32"/>
          <w:lang w:eastAsia="zh-CN"/>
        </w:rPr>
        <w:t>2021</w:t>
      </w:r>
      <w:r>
        <w:rPr>
          <w:rStyle w:val="6"/>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部门机关运行费预算</w:t>
      </w:r>
      <w:r>
        <w:rPr>
          <w:rFonts w:hint="eastAsia" w:ascii="仿宋" w:hAnsi="仿宋" w:eastAsia="仿宋" w:cs="Times New Roman"/>
          <w:kern w:val="0"/>
          <w:sz w:val="32"/>
          <w:szCs w:val="32"/>
          <w:lang w:val="en-US" w:eastAsia="zh-CN"/>
        </w:rPr>
        <w:t>616.96</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增加</w:t>
      </w:r>
      <w:r>
        <w:rPr>
          <w:rFonts w:hint="eastAsia" w:ascii="仿宋" w:hAnsi="仿宋" w:eastAsia="仿宋" w:cs="Times New Roman"/>
          <w:kern w:val="0"/>
          <w:sz w:val="32"/>
          <w:szCs w:val="32"/>
          <w:lang w:val="en-US" w:eastAsia="zh-CN"/>
        </w:rPr>
        <w:t>122.08</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上升</w:t>
      </w:r>
      <w:r>
        <w:rPr>
          <w:rFonts w:hint="eastAsia" w:ascii="仿宋" w:hAnsi="仿宋" w:eastAsia="仿宋" w:cs="Times New Roman"/>
          <w:kern w:val="0"/>
          <w:sz w:val="32"/>
          <w:szCs w:val="32"/>
          <w:lang w:val="en-US" w:eastAsia="zh-CN"/>
        </w:rPr>
        <w:t>24.67</w:t>
      </w:r>
      <w:r>
        <w:rPr>
          <w:rFonts w:hint="eastAsia" w:ascii="Adobe 仿宋 Std R" w:hAnsi="Adobe 仿宋 Std R" w:eastAsia="Adobe 仿宋 Std R"/>
          <w:sz w:val="32"/>
          <w:szCs w:val="32"/>
        </w:rPr>
        <w:t>%。</w:t>
      </w:r>
    </w:p>
    <w:p>
      <w:pPr>
        <w:widowControl/>
        <w:spacing w:line="580" w:lineRule="exact"/>
        <w:ind w:firstLine="636"/>
        <w:jc w:val="left"/>
        <w:rPr>
          <w:rFonts w:hint="eastAsia" w:ascii="Adobe 仿宋 Std R" w:hAnsi="Adobe 仿宋 Std R" w:eastAsia="Adobe 仿宋 Std R"/>
          <w:sz w:val="32"/>
          <w:szCs w:val="32"/>
          <w:highlight w:val="green"/>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ind w:firstLine="640" w:firstLineChars="200"/>
        <w:rPr>
          <w:rStyle w:val="6"/>
          <w:rFonts w:hint="eastAsia" w:ascii="Adobe 仿宋 Std R" w:hAnsi="Adobe 仿宋 Std R" w:eastAsia="Adobe 仿宋 Std R"/>
          <w:b/>
          <w:sz w:val="32"/>
          <w:szCs w:val="32"/>
          <w:highlight w:val="none"/>
        </w:rPr>
      </w:pPr>
      <w:r>
        <w:rPr>
          <w:rStyle w:val="6"/>
          <w:rFonts w:hint="eastAsia" w:ascii="Adobe 仿宋 Std R" w:hAnsi="Adobe 仿宋 Std R" w:eastAsia="Adobe 仿宋 Std R"/>
          <w:b/>
          <w:sz w:val="32"/>
          <w:szCs w:val="32"/>
          <w:highlight w:val="none"/>
          <w:lang w:val="en-US" w:eastAsia="zh-CN"/>
        </w:rPr>
        <w:t>(</w:t>
      </w:r>
      <w:r>
        <w:rPr>
          <w:rStyle w:val="6"/>
          <w:rFonts w:hint="eastAsia" w:ascii="Adobe 仿宋 Std R" w:hAnsi="Adobe 仿宋 Std R" w:eastAsia="Adobe 仿宋 Std R"/>
          <w:b/>
          <w:sz w:val="32"/>
          <w:szCs w:val="32"/>
          <w:highlight w:val="none"/>
          <w:lang w:eastAsia="zh-CN"/>
        </w:rPr>
        <w:t>七</w:t>
      </w:r>
      <w:r>
        <w:rPr>
          <w:rStyle w:val="6"/>
          <w:rFonts w:hint="eastAsia" w:ascii="Adobe 仿宋 Std R" w:hAnsi="Adobe 仿宋 Std R" w:eastAsia="Adobe 仿宋 Std R"/>
          <w:b/>
          <w:sz w:val="32"/>
          <w:szCs w:val="32"/>
          <w:highlight w:val="none"/>
          <w:lang w:val="en-US" w:eastAsia="zh-CN"/>
        </w:rPr>
        <w:t>)</w:t>
      </w:r>
      <w:r>
        <w:rPr>
          <w:rStyle w:val="6"/>
          <w:rFonts w:hint="eastAsia" w:ascii="Adobe 仿宋 Std R" w:hAnsi="Adobe 仿宋 Std R" w:eastAsia="Adobe 仿宋 Std R"/>
          <w:b/>
          <w:sz w:val="32"/>
          <w:szCs w:val="32"/>
          <w:highlight w:val="none"/>
        </w:rPr>
        <w:t>政府采购情况</w:t>
      </w:r>
    </w:p>
    <w:p>
      <w:pPr>
        <w:numPr>
          <w:ilvl w:val="0"/>
          <w:numId w:val="0"/>
        </w:numPr>
        <w:ind w:firstLine="640" w:firstLineChars="200"/>
        <w:rPr>
          <w:rFonts w:hint="eastAsia" w:ascii="Adobe 仿宋 Std R" w:hAnsi="Adobe 仿宋 Std R" w:eastAsia="Adobe 仿宋 Std R"/>
          <w:sz w:val="32"/>
          <w:szCs w:val="32"/>
          <w:highlight w:val="none"/>
        </w:rPr>
      </w:pPr>
      <w:r>
        <w:rPr>
          <w:rFonts w:hint="eastAsia" w:ascii="仿宋" w:hAnsi="仿宋" w:eastAsia="仿宋" w:cs="Times New Roman"/>
          <w:kern w:val="0"/>
          <w:sz w:val="32"/>
          <w:szCs w:val="32"/>
          <w:lang w:val="en-US" w:eastAsia="zh-CN"/>
        </w:rPr>
        <w:t>2021</w:t>
      </w:r>
      <w:r>
        <w:rPr>
          <w:rFonts w:hint="eastAsia" w:ascii="Adobe 仿宋 Std R" w:hAnsi="Adobe 仿宋 Std R" w:eastAsia="Adobe 仿宋 Std R"/>
          <w:sz w:val="32"/>
          <w:szCs w:val="32"/>
          <w:highlight w:val="none"/>
        </w:rPr>
        <w:t>年部门所属各单位政府采购总额</w:t>
      </w:r>
      <w:r>
        <w:rPr>
          <w:rFonts w:hint="eastAsia" w:ascii="仿宋" w:hAnsi="仿宋" w:eastAsia="仿宋" w:cs="Times New Roman"/>
          <w:kern w:val="0"/>
          <w:sz w:val="32"/>
          <w:szCs w:val="32"/>
          <w:lang w:val="en-US" w:eastAsia="zh-CN"/>
        </w:rPr>
        <w:t>4543.98</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w:t>
      </w:r>
      <w:r>
        <w:rPr>
          <w:rFonts w:hint="eastAsia" w:ascii="仿宋" w:hAnsi="仿宋" w:eastAsia="仿宋" w:cs="Times New Roman"/>
          <w:kern w:val="0"/>
          <w:sz w:val="32"/>
          <w:szCs w:val="32"/>
          <w:lang w:val="en-US" w:eastAsia="zh-CN"/>
        </w:rPr>
        <w:t>2235.00</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w:t>
      </w:r>
      <w:r>
        <w:rPr>
          <w:rFonts w:hint="eastAsia" w:ascii="仿宋" w:hAnsi="仿宋" w:eastAsia="仿宋" w:cs="Times New Roman"/>
          <w:kern w:val="0"/>
          <w:sz w:val="32"/>
          <w:szCs w:val="32"/>
          <w:lang w:val="en-US" w:eastAsia="zh-CN"/>
        </w:rPr>
        <w:t>880.00</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w:t>
      </w:r>
      <w:r>
        <w:rPr>
          <w:rFonts w:hint="eastAsia" w:ascii="仿宋" w:hAnsi="仿宋" w:eastAsia="仿宋" w:cs="Times New Roman"/>
          <w:kern w:val="0"/>
          <w:sz w:val="32"/>
          <w:szCs w:val="32"/>
          <w:lang w:val="en-US" w:eastAsia="zh-CN"/>
        </w:rPr>
        <w:t>1428.98</w:t>
      </w:r>
      <w:r>
        <w:rPr>
          <w:rFonts w:hint="eastAsia" w:ascii="Adobe 仿宋 Std R" w:hAnsi="Adobe 仿宋 Std R" w:eastAsia="Adobe 仿宋 Std R"/>
          <w:sz w:val="32"/>
          <w:szCs w:val="32"/>
          <w:highlight w:val="none"/>
        </w:rPr>
        <w:t>万元。</w:t>
      </w:r>
    </w:p>
    <w:p>
      <w:pPr>
        <w:ind w:firstLine="640" w:firstLineChars="200"/>
        <w:rPr>
          <w:rStyle w:val="6"/>
          <w:rFonts w:ascii="Adobe 仿宋 Std R" w:hAnsi="Adobe 仿宋 Std R" w:eastAsia="Adobe 仿宋 Std R"/>
          <w:b/>
          <w:sz w:val="32"/>
          <w:szCs w:val="32"/>
          <w:highlight w:val="none"/>
        </w:rPr>
      </w:pPr>
      <w:r>
        <w:rPr>
          <w:rStyle w:val="6"/>
          <w:rFonts w:hint="eastAsia" w:ascii="Adobe 仿宋 Std R" w:hAnsi="Adobe 仿宋 Std R" w:eastAsia="Adobe 仿宋 Std R"/>
          <w:b/>
          <w:sz w:val="32"/>
          <w:szCs w:val="32"/>
          <w:highlight w:val="none"/>
        </w:rPr>
        <w:t>(八)国有资产占有使用情况</w:t>
      </w:r>
    </w:p>
    <w:p>
      <w:pPr>
        <w:ind w:firstLine="640" w:firstLineChars="200"/>
        <w:rPr>
          <w:rFonts w:hint="eastAsia"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截至202</w:t>
      </w:r>
      <w:r>
        <w:rPr>
          <w:rFonts w:hint="eastAsia" w:ascii="Adobe 仿宋 Std R" w:hAnsi="Adobe 仿宋 Std R" w:eastAsia="Adobe 仿宋 Std R"/>
          <w:color w:val="auto"/>
          <w:sz w:val="32"/>
          <w:szCs w:val="32"/>
          <w:highlight w:val="none"/>
          <w:lang w:val="en-US" w:eastAsia="zh-CN"/>
        </w:rPr>
        <w:t>0</w:t>
      </w:r>
      <w:r>
        <w:rPr>
          <w:rFonts w:hint="eastAsia" w:ascii="Adobe 仿宋 Std R" w:hAnsi="Adobe 仿宋 Std R" w:eastAsia="Adobe 仿宋 Std R"/>
          <w:color w:val="auto"/>
          <w:sz w:val="32"/>
          <w:szCs w:val="32"/>
          <w:highlight w:val="none"/>
        </w:rPr>
        <w:t>年12月31日，部门共有车辆</w:t>
      </w:r>
      <w:r>
        <w:rPr>
          <w:rFonts w:hint="eastAsia" w:ascii="仿宋" w:hAnsi="仿宋" w:eastAsia="仿宋" w:cs="Times New Roman"/>
          <w:kern w:val="0"/>
          <w:sz w:val="32"/>
          <w:szCs w:val="32"/>
          <w:lang w:val="en-US" w:eastAsia="zh-CN"/>
        </w:rPr>
        <w:t>27</w:t>
      </w:r>
      <w:r>
        <w:rPr>
          <w:rFonts w:hint="eastAsia" w:ascii="Adobe 仿宋 Std R" w:hAnsi="Adobe 仿宋 Std R" w:eastAsia="Adobe 仿宋 Std R"/>
          <w:color w:val="auto"/>
          <w:sz w:val="32"/>
          <w:szCs w:val="32"/>
          <w:highlight w:val="none"/>
        </w:rPr>
        <w:t>辆，其中，一般公务用车</w:t>
      </w:r>
      <w:r>
        <w:rPr>
          <w:rFonts w:hint="eastAsia" w:ascii="仿宋" w:hAnsi="仿宋" w:eastAsia="仿宋" w:cs="Times New Roman"/>
          <w:kern w:val="0"/>
          <w:sz w:val="32"/>
          <w:szCs w:val="32"/>
          <w:lang w:val="en-US" w:eastAsia="zh-CN"/>
        </w:rPr>
        <w:t xml:space="preserve"> 0</w:t>
      </w:r>
      <w:r>
        <w:rPr>
          <w:rFonts w:hint="eastAsia" w:ascii="Adobe 仿宋 Std R" w:hAnsi="Adobe 仿宋 Std R" w:eastAsia="Adobe 仿宋 Std R"/>
          <w:color w:val="auto"/>
          <w:sz w:val="32"/>
          <w:szCs w:val="32"/>
          <w:highlight w:val="none"/>
        </w:rPr>
        <w:t>辆，执法执勤用车</w:t>
      </w:r>
      <w:r>
        <w:rPr>
          <w:rFonts w:hint="eastAsia" w:ascii="仿宋" w:hAnsi="仿宋" w:eastAsia="仿宋" w:cs="Times New Roman"/>
          <w:kern w:val="0"/>
          <w:sz w:val="32"/>
          <w:szCs w:val="32"/>
          <w:lang w:val="en-US" w:eastAsia="zh-CN"/>
        </w:rPr>
        <w:t>27</w:t>
      </w:r>
      <w:r>
        <w:rPr>
          <w:rFonts w:hint="eastAsia" w:ascii="Adobe 仿宋 Std R" w:hAnsi="Adobe 仿宋 Std R" w:eastAsia="Adobe 仿宋 Std R"/>
          <w:color w:val="auto"/>
          <w:sz w:val="32"/>
          <w:szCs w:val="32"/>
          <w:highlight w:val="none"/>
        </w:rPr>
        <w:t>辆。</w:t>
      </w:r>
    </w:p>
    <w:p>
      <w:pPr>
        <w:ind w:firstLine="640" w:firstLineChars="200"/>
        <w:rPr>
          <w:rFonts w:hint="eastAsia"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202</w:t>
      </w:r>
      <w:r>
        <w:rPr>
          <w:rFonts w:hint="eastAsia" w:ascii="Adobe 仿宋 Std R" w:hAnsi="Adobe 仿宋 Std R" w:eastAsia="Adobe 仿宋 Std R"/>
          <w:color w:val="auto"/>
          <w:sz w:val="32"/>
          <w:szCs w:val="32"/>
          <w:highlight w:val="none"/>
          <w:lang w:val="en-US" w:eastAsia="zh-CN"/>
        </w:rPr>
        <w:t>1</w:t>
      </w:r>
      <w:r>
        <w:rPr>
          <w:rFonts w:hint="eastAsia" w:ascii="Adobe 仿宋 Std R" w:hAnsi="Adobe 仿宋 Std R" w:eastAsia="Adobe 仿宋 Std R"/>
          <w:color w:val="auto"/>
          <w:sz w:val="32"/>
          <w:szCs w:val="32"/>
          <w:highlight w:val="none"/>
        </w:rPr>
        <w:t>年部门预算安排购置车辆</w:t>
      </w:r>
      <w:r>
        <w:rPr>
          <w:rFonts w:hint="eastAsia" w:ascii="仿宋" w:hAnsi="仿宋" w:eastAsia="仿宋" w:cs="Times New Roman"/>
          <w:kern w:val="0"/>
          <w:sz w:val="32"/>
          <w:szCs w:val="32"/>
          <w:lang w:val="en-US" w:eastAsia="zh-CN"/>
        </w:rPr>
        <w:t>3</w:t>
      </w:r>
      <w:r>
        <w:rPr>
          <w:rFonts w:hint="eastAsia" w:ascii="Adobe 仿宋 Std R" w:hAnsi="Adobe 仿宋 Std R" w:eastAsia="Adobe 仿宋 Std R"/>
          <w:color w:val="auto"/>
          <w:sz w:val="32"/>
          <w:szCs w:val="32"/>
          <w:highlight w:val="none"/>
        </w:rPr>
        <w:t>辆，其中摩托车</w:t>
      </w:r>
      <w:r>
        <w:rPr>
          <w:rFonts w:hint="eastAsia" w:ascii="仿宋" w:hAnsi="仿宋" w:eastAsia="仿宋" w:cs="Times New Roman"/>
          <w:kern w:val="0"/>
          <w:sz w:val="32"/>
          <w:szCs w:val="32"/>
          <w:lang w:val="en-US" w:eastAsia="zh-CN"/>
        </w:rPr>
        <w:t>0</w:t>
      </w:r>
      <w:r>
        <w:rPr>
          <w:rFonts w:hint="eastAsia" w:ascii="Adobe 仿宋 Std R" w:hAnsi="Adobe 仿宋 Std R" w:eastAsia="Adobe 仿宋 Std R"/>
          <w:color w:val="auto"/>
          <w:sz w:val="32"/>
          <w:szCs w:val="32"/>
          <w:highlight w:val="none"/>
        </w:rPr>
        <w:t>辆，执勤用车</w:t>
      </w:r>
      <w:r>
        <w:rPr>
          <w:rFonts w:hint="eastAsia" w:ascii="仿宋" w:hAnsi="仿宋" w:eastAsia="仿宋" w:cs="Times New Roman"/>
          <w:kern w:val="0"/>
          <w:sz w:val="32"/>
          <w:szCs w:val="32"/>
          <w:lang w:val="en-US" w:eastAsia="zh-CN"/>
        </w:rPr>
        <w:t>3</w:t>
      </w:r>
      <w:r>
        <w:rPr>
          <w:rFonts w:hint="eastAsia" w:ascii="Adobe 仿宋 Std R" w:hAnsi="Adobe 仿宋 Std R" w:eastAsia="Adobe 仿宋 Std R"/>
          <w:color w:val="auto"/>
          <w:sz w:val="32"/>
          <w:szCs w:val="32"/>
          <w:highlight w:val="none"/>
        </w:rPr>
        <w:t>辆。安排购置单位价值200万元以上大型设备具体为：</w:t>
      </w:r>
      <w:r>
        <w:rPr>
          <w:rFonts w:hint="eastAsia" w:ascii="Adobe 仿宋 Std R" w:hAnsi="Adobe 仿宋 Std R" w:eastAsia="Adobe 仿宋 Std R"/>
          <w:color w:val="auto"/>
          <w:sz w:val="32"/>
          <w:szCs w:val="32"/>
          <w:highlight w:val="none"/>
          <w:lang w:eastAsia="zh-CN"/>
        </w:rPr>
        <w:t>无</w:t>
      </w:r>
      <w:r>
        <w:rPr>
          <w:rFonts w:hint="eastAsia" w:ascii="Adobe 仿宋 Std R" w:hAnsi="Adobe 仿宋 Std R" w:eastAsia="Adobe 仿宋 Std R"/>
          <w:color w:val="auto"/>
          <w:sz w:val="32"/>
          <w:szCs w:val="32"/>
          <w:highlight w:val="none"/>
        </w:rPr>
        <w:t>。</w:t>
      </w:r>
    </w:p>
    <w:p>
      <w:pPr>
        <w:ind w:firstLine="640" w:firstLineChars="200"/>
        <w:rPr>
          <w:rStyle w:val="6"/>
          <w:rFonts w:ascii="Adobe 仿宋 Std R" w:hAnsi="Adobe 仿宋 Std R" w:eastAsia="Adobe 仿宋 Std R"/>
          <w:b/>
          <w:sz w:val="32"/>
          <w:szCs w:val="32"/>
          <w:highlight w:val="none"/>
        </w:rPr>
      </w:pPr>
      <w:r>
        <w:rPr>
          <w:rStyle w:val="6"/>
          <w:rFonts w:hint="eastAsia" w:ascii="Adobe 仿宋 Std R" w:hAnsi="Adobe 仿宋 Std R" w:eastAsia="Adobe 仿宋 Std R"/>
          <w:b/>
          <w:sz w:val="32"/>
          <w:szCs w:val="32"/>
          <w:highlight w:val="none"/>
        </w:rPr>
        <w:t>（九）项目情况说明（部门本级）</w:t>
      </w:r>
    </w:p>
    <w:p>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1.公安机关房屋及附属设施运行维护</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:对支队的办公、业务等公共区域和公共设施高质量高标准的维护及管理，创建干净、整洁、有序的工作环境。</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:立项批复</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：对支队的办公、业务等公共区域和公共设施高质量高标准的维护及管理，创建干净、整洁、有序的工作环境；支队大楼消防改造、办公用房修缮支出</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：支队大楼消防改造、办公用房修缮支出。对支队的办公、业务等公共区域和公共设施高质量高标准的维护及管理，创建干净、整洁、有序的工作环境。</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:600万元</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（7）绩效目标和指标</w:t>
      </w:r>
      <w:r>
        <w:rPr>
          <w:rFonts w:hint="eastAsia" w:ascii="Adobe 仿宋 Std R" w:hAnsi="Adobe 仿宋 Std R" w:eastAsia="Adobe 仿宋 Std R"/>
          <w:sz w:val="32"/>
          <w:szCs w:val="32"/>
          <w:highlight w:val="none"/>
          <w:lang w:eastAsia="zh-CN"/>
        </w:rPr>
        <w:t>：</w:t>
      </w:r>
    </w:p>
    <w:tbl>
      <w:tblPr>
        <w:tblStyle w:val="4"/>
        <w:tblW w:w="91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70"/>
        <w:gridCol w:w="4320"/>
        <w:gridCol w:w="30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房屋维护保养面积</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w:t>
            </w:r>
            <w:r>
              <w:rPr>
                <w:rFonts w:hint="eastAsia" w:ascii="宋体" w:hAnsi="宋体" w:cs="宋体"/>
                <w:i w:val="0"/>
                <w:iCs w:val="0"/>
                <w:color w:val="000000"/>
                <w:kern w:val="0"/>
                <w:sz w:val="24"/>
                <w:szCs w:val="24"/>
                <w:highlight w:val="none"/>
                <w:u w:val="none"/>
                <w:lang w:val="en-US" w:eastAsia="zh-CN" w:bidi="ar"/>
              </w:rPr>
              <w:t>1</w:t>
            </w:r>
            <w:r>
              <w:rPr>
                <w:rFonts w:hint="eastAsia" w:ascii="宋体" w:hAnsi="宋体" w:eastAsia="宋体" w:cs="宋体"/>
                <w:i w:val="0"/>
                <w:iCs w:val="0"/>
                <w:color w:val="000000"/>
                <w:kern w:val="0"/>
                <w:sz w:val="24"/>
                <w:szCs w:val="24"/>
                <w:highlight w:val="none"/>
                <w:u w:val="none"/>
                <w:lang w:val="en-US" w:eastAsia="zh-CN" w:bidi="ar"/>
              </w:rPr>
              <w:t>2370平米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质量</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房屋维护保养合格率</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w:t>
            </w:r>
            <w:r>
              <w:rPr>
                <w:rFonts w:hint="eastAsia" w:ascii="宋体" w:hAnsi="宋体" w:cs="宋体"/>
                <w:i w:val="0"/>
                <w:iCs w:val="0"/>
                <w:color w:val="000000"/>
                <w:kern w:val="0"/>
                <w:sz w:val="24"/>
                <w:szCs w:val="24"/>
                <w:highlight w:val="none"/>
                <w:u w:val="none"/>
                <w:lang w:val="en-US" w:eastAsia="zh-CN" w:bidi="ar"/>
              </w:rPr>
              <w:t>100</w:t>
            </w:r>
            <w:r>
              <w:rPr>
                <w:rFonts w:hint="eastAsia" w:ascii="宋体" w:hAnsi="宋体" w:eastAsia="宋体" w:cs="宋体"/>
                <w:i w:val="0"/>
                <w:iCs w:val="0"/>
                <w:color w:val="000000"/>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时效</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房屋维护保养及时率</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成本</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房屋维护保养成本</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经济效益</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社会效益</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安全事故发生数</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可持续影响</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空调可持续使用年度</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4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单位人员满意度</w:t>
            </w:r>
          </w:p>
        </w:tc>
        <w:tc>
          <w:tcPr>
            <w:tcW w:w="3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bl>
    <w:p>
      <w:pPr>
        <w:rPr>
          <w:rFonts w:hint="eastAsia" w:ascii="Adobe 仿宋 Std R" w:hAnsi="Adobe 仿宋 Std R" w:eastAsia="Adobe 仿宋 Std R"/>
          <w:sz w:val="32"/>
          <w:szCs w:val="32"/>
          <w:highlight w:val="none"/>
          <w:lang w:eastAsia="zh-CN"/>
        </w:rPr>
      </w:pPr>
    </w:p>
    <w:p>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2.经常性业务费</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:确保道路交通安全各项管理工作能够顺利开展，为群众办实事，为创建平安畅通的交通环境保驾护航。</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:工作业务实际需要</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补充业务开支。</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各科室的经常性业务工作（不含执法办案等专项工作）的相关支出，主要包括直接聘用的编外人员、临时抽借调人员，邮电、业务会议、业务印刷、业务差旅、劳务、咨询、房屋及设备和工器具的临时租赁等内容。数额较小的公安民警（机关）立功授奖表彰奖励、各单位临时发放的小额慰问金、补助列入本科目。</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:1510万元</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（7）绩效目标和指标</w:t>
      </w:r>
      <w:r>
        <w:rPr>
          <w:rFonts w:hint="eastAsia" w:ascii="Adobe 仿宋 Std R" w:hAnsi="Adobe 仿宋 Std R" w:eastAsia="Adobe 仿宋 Std R"/>
          <w:sz w:val="32"/>
          <w:szCs w:val="32"/>
          <w:highlight w:val="none"/>
          <w:lang w:eastAsia="zh-CN"/>
        </w:rPr>
        <w:t>：</w:t>
      </w:r>
    </w:p>
    <w:tbl>
      <w:tblPr>
        <w:tblStyle w:val="4"/>
        <w:tblpPr w:leftFromText="180" w:rightFromText="180" w:vertAnchor="text" w:horzAnchor="page" w:tblpX="1515" w:tblpY="49"/>
        <w:tblOverlap w:val="never"/>
        <w:tblW w:w="92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9"/>
        <w:gridCol w:w="1668"/>
        <w:gridCol w:w="3552"/>
        <w:gridCol w:w="2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35" w:hRule="atLeast"/>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产出指标</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物业管理场所数量</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质量</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食堂管理菜品达标率</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时效</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培训及时率</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成本</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物业管理平均成本</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&lt;=200万元/个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效益指标</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经济效益</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社会效益</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物业管理机制健全性</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可持续影响</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群众满意度</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3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单位人员满意度</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bl>
    <w:p>
      <w:pPr>
        <w:ind w:firstLine="642"/>
        <w:rPr>
          <w:rFonts w:hint="eastAsia" w:ascii="Adobe 仿宋 Std R" w:hAnsi="Adobe 仿宋 Std R" w:eastAsia="Adobe 仿宋 Std R"/>
          <w:sz w:val="32"/>
          <w:szCs w:val="32"/>
          <w:highlight w:val="none"/>
          <w:lang w:val="en-US" w:eastAsia="zh-CN"/>
        </w:rPr>
      </w:pPr>
    </w:p>
    <w:p>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lang w:val="en-US" w:eastAsia="zh-CN"/>
        </w:rPr>
        <w:t>3</w:t>
      </w:r>
      <w:r>
        <w:rPr>
          <w:rFonts w:hint="eastAsia" w:ascii="Adobe 仿宋 Std R" w:hAnsi="Adobe 仿宋 Std R" w:eastAsia="Adobe 仿宋 Std R"/>
          <w:sz w:val="32"/>
          <w:szCs w:val="32"/>
          <w:highlight w:val="none"/>
        </w:rPr>
        <w:t>.警务辅助专项经费</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:保障民辅警及退休正常运转的经费开支：工资、五险一金、意外伤害险、福利、防寒费、降温费、年终奖励、政府性奖励、辅警服装及警用装备等。</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:工作业务实际需要</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补充聘用人员经费开支。</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保障民辅警及退休正常运转的经费开支：工资、五险一金、意外伤害险、福利、防寒费、降温费、年终奖励、政府性奖励、辅警服装及警用装备等</w:t>
      </w:r>
      <w:r>
        <w:rPr>
          <w:rFonts w:hint="eastAsia" w:ascii="Adobe 仿宋 Std R" w:hAnsi="Adobe 仿宋 Std R" w:eastAsia="Adobe 仿宋 Std R"/>
          <w:sz w:val="32"/>
          <w:szCs w:val="32"/>
          <w:highlight w:val="none"/>
          <w:lang w:eastAsia="zh-CN"/>
        </w:rPr>
        <w:t>。</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:930万元</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（7）绩效目标和指标</w:t>
      </w:r>
      <w:r>
        <w:rPr>
          <w:rFonts w:hint="eastAsia" w:ascii="Adobe 仿宋 Std R" w:hAnsi="Adobe 仿宋 Std R" w:eastAsia="Adobe 仿宋 Std R"/>
          <w:sz w:val="32"/>
          <w:szCs w:val="32"/>
          <w:highlight w:val="none"/>
          <w:lang w:eastAsia="zh-CN"/>
        </w:rPr>
        <w:t>：</w:t>
      </w:r>
    </w:p>
    <w:tbl>
      <w:tblPr>
        <w:tblStyle w:val="4"/>
        <w:tblpPr w:leftFromText="180" w:rightFromText="180" w:vertAnchor="text" w:horzAnchor="page" w:tblpX="2092" w:tblpY="628"/>
        <w:tblOverlap w:val="never"/>
        <w:tblW w:w="8290" w:type="dxa"/>
        <w:tblInd w:w="-21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6"/>
        <w:gridCol w:w="1646"/>
        <w:gridCol w:w="2666"/>
        <w:gridCol w:w="2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产出指标</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总人员数量</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&gt;=152人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质量</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考核达标率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时效</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到岗及时率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聘用人员人均成本</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&gt;=4.5万元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效益指标</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经济效益</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continue"/>
            <w:tcBorders>
              <w:left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社会效益</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警力补充率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vMerge w:val="continue"/>
            <w:tcBorders>
              <w:left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业务正常开展率</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3" w:hRule="atLeast"/>
        </w:trPr>
        <w:tc>
          <w:tcPr>
            <w:tcW w:w="1506" w:type="dxa"/>
            <w:vMerge w:val="continue"/>
            <w:tcBorders>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可持续影响</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长效管理机制健全性</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健全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1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单位满意度</w:t>
            </w:r>
          </w:p>
        </w:tc>
        <w:tc>
          <w:tcPr>
            <w:tcW w:w="2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bl>
    <w:p>
      <w:pPr>
        <w:ind w:firstLine="642"/>
        <w:rPr>
          <w:rFonts w:hint="eastAsia" w:ascii="Adobe 仿宋 Std R" w:hAnsi="Adobe 仿宋 Std R" w:eastAsia="Adobe 仿宋 Std R"/>
          <w:sz w:val="32"/>
          <w:szCs w:val="32"/>
          <w:highlight w:val="none"/>
          <w:lang w:eastAsia="zh-CN"/>
        </w:rPr>
      </w:pPr>
    </w:p>
    <w:p>
      <w:pPr>
        <w:ind w:firstLine="642"/>
        <w:rPr>
          <w:rFonts w:hint="eastAsia" w:ascii="Adobe 仿宋 Std R" w:hAnsi="Adobe 仿宋 Std R" w:eastAsia="Adobe 仿宋 Std R"/>
          <w:sz w:val="32"/>
          <w:szCs w:val="32"/>
          <w:highlight w:val="none"/>
          <w:lang w:val="en-US" w:eastAsia="zh-CN"/>
        </w:rPr>
      </w:pPr>
    </w:p>
    <w:p>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lang w:val="en-US" w:eastAsia="zh-CN"/>
        </w:rPr>
        <w:t>4</w:t>
      </w:r>
      <w:r>
        <w:rPr>
          <w:rFonts w:hint="eastAsia" w:ascii="Adobe 仿宋 Std R" w:hAnsi="Adobe 仿宋 Std R" w:eastAsia="Adobe 仿宋 Std R"/>
          <w:sz w:val="32"/>
          <w:szCs w:val="32"/>
          <w:highlight w:val="none"/>
        </w:rPr>
        <w:t>.公安信息网络运维专项</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:完成上级业务考核任务，保障道路交通安全管理信息系统正常运行及维护。</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:依据《中华人民共和国道路交通安全法》、江西省实施《中华人民共和国道路交通安全法》管理办法、省公安厅交管局、赣州市公安局交警支队《2020年科技建设应用重点工作季度考评细则》。</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支队UPS电源房维护、信息系统扩容、容灾备份系统维保、IT运维服务等。</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用科技强警，完成各项工作考核任务，保障信息系统运行维护</w:t>
      </w:r>
      <w:r>
        <w:rPr>
          <w:rFonts w:hint="eastAsia" w:ascii="Adobe 仿宋 Std R" w:hAnsi="Adobe 仿宋 Std R" w:eastAsia="Adobe 仿宋 Std R"/>
          <w:sz w:val="32"/>
          <w:szCs w:val="32"/>
          <w:highlight w:val="none"/>
          <w:lang w:eastAsia="zh-CN"/>
        </w:rPr>
        <w:t>。</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:1428.98万元</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（7）绩效目标和指标</w:t>
      </w:r>
      <w:r>
        <w:rPr>
          <w:rFonts w:hint="eastAsia" w:ascii="Adobe 仿宋 Std R" w:hAnsi="Adobe 仿宋 Std R" w:eastAsia="Adobe 仿宋 Std R"/>
          <w:sz w:val="32"/>
          <w:szCs w:val="32"/>
          <w:highlight w:val="none"/>
          <w:lang w:eastAsia="zh-CN"/>
        </w:rPr>
        <w:t>：</w:t>
      </w:r>
    </w:p>
    <w:tbl>
      <w:tblPr>
        <w:tblStyle w:val="4"/>
        <w:tblpPr w:leftFromText="180" w:rightFromText="180" w:vertAnchor="text" w:horzAnchor="page" w:tblpX="1884" w:tblpY="289"/>
        <w:tblOverlap w:val="never"/>
        <w:tblW w:w="82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4"/>
        <w:gridCol w:w="1428"/>
        <w:gridCol w:w="3316"/>
        <w:gridCol w:w="2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12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产出指标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系统升级改造数量</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质量</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系统故障率</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升级改造系统验收合格率</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时效</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系统上线及时率</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成本</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效益指标</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经济效益</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社会效益</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系统安全等级达标率</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可持续影响</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系统可正常使用年限</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1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3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单位人员满意度</w:t>
            </w:r>
          </w:p>
        </w:tc>
        <w:tc>
          <w:tcPr>
            <w:tcW w:w="2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bl>
    <w:p>
      <w:pPr>
        <w:ind w:firstLine="642"/>
        <w:rPr>
          <w:rFonts w:hint="eastAsia" w:ascii="Adobe 仿宋 Std R" w:hAnsi="Adobe 仿宋 Std R" w:eastAsia="Adobe 仿宋 Std R"/>
          <w:sz w:val="32"/>
          <w:szCs w:val="32"/>
          <w:highlight w:val="none"/>
          <w:lang w:val="en-US" w:eastAsia="zh-CN"/>
        </w:rPr>
      </w:pPr>
    </w:p>
    <w:p>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lang w:val="en-US" w:eastAsia="zh-CN"/>
        </w:rPr>
        <w:t>5</w:t>
      </w:r>
      <w:r>
        <w:rPr>
          <w:rFonts w:hint="eastAsia" w:ascii="Adobe 仿宋 Std R" w:hAnsi="Adobe 仿宋 Std R" w:eastAsia="Adobe 仿宋 Std R"/>
          <w:sz w:val="32"/>
          <w:szCs w:val="32"/>
          <w:highlight w:val="none"/>
        </w:rPr>
        <w:t>.公安信息系统建设和升级改造</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:完成上级业务考核任务，保障道路交通安全管理信息系统正常运行及维护。</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:依据《中华人民共和国道路交通安全法》、江西省实施《中华人民共和国道路交通安全法》管理办法、省公安厅交管局、赣州市公安局交警支队《2020年科技建设应用重点工作季度考评细则》。</w:t>
      </w:r>
    </w:p>
    <w:p>
      <w:pPr>
        <w:ind w:firstLine="640" w:firstLineChars="200"/>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支队UPS电源房维护、信息系统扩容、容灾备份系统维保、IT运维服务等。</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用科技强警，完成各项工作考核任务，保障信息系统运行维护</w:t>
      </w:r>
      <w:r>
        <w:rPr>
          <w:rFonts w:hint="eastAsia" w:ascii="Adobe 仿宋 Std R" w:hAnsi="Adobe 仿宋 Std R" w:eastAsia="Adobe 仿宋 Std R"/>
          <w:sz w:val="32"/>
          <w:szCs w:val="32"/>
          <w:highlight w:val="none"/>
          <w:lang w:eastAsia="zh-CN"/>
        </w:rPr>
        <w:t>。</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:531.45万元</w:t>
      </w:r>
    </w:p>
    <w:tbl>
      <w:tblPr>
        <w:tblStyle w:val="4"/>
        <w:tblpPr w:leftFromText="180" w:rightFromText="180" w:vertAnchor="text" w:horzAnchor="page" w:tblpX="1583" w:tblpY="1139"/>
        <w:tblOverlap w:val="never"/>
        <w:tblW w:w="88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27"/>
        <w:gridCol w:w="2004"/>
        <w:gridCol w:w="2892"/>
        <w:gridCol w:w="2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4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专用设备购置数量</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8"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设备故障发生率</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4"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号牌购置到位及时率</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4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号牌购置平均成本</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&lt;=1300万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效益指标</w:t>
            </w: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设备利用率</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0" w:hRule="atLeast"/>
        </w:trPr>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群众满意度</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w:t>
            </w:r>
          </w:p>
        </w:tc>
        <w:tc>
          <w:tcPr>
            <w:tcW w:w="2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w:t>
            </w:r>
          </w:p>
        </w:tc>
        <w:tc>
          <w:tcPr>
            <w:tcW w:w="2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单位人员满意度</w:t>
            </w:r>
          </w:p>
        </w:tc>
        <w:tc>
          <w:tcPr>
            <w:tcW w:w="2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&gt;=95%</w:t>
            </w:r>
          </w:p>
        </w:tc>
      </w:tr>
    </w:tbl>
    <w:p>
      <w:pPr>
        <w:ind w:firstLine="640" w:firstLineChars="200"/>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（7）绩效目标和指标</w:t>
      </w:r>
      <w:r>
        <w:rPr>
          <w:rFonts w:hint="eastAsia" w:ascii="Adobe 仿宋 Std R" w:hAnsi="Adobe 仿宋 Std R" w:eastAsia="Adobe 仿宋 Std R"/>
          <w:sz w:val="32"/>
          <w:szCs w:val="32"/>
          <w:highlight w:val="none"/>
          <w:lang w:eastAsia="zh-CN"/>
        </w:rPr>
        <w:t>：</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w:t>
      </w:r>
    </w:p>
    <w:p>
      <w:pPr>
        <w:widowControl/>
        <w:spacing w:line="580" w:lineRule="exact"/>
        <w:jc w:val="left"/>
        <w:rPr>
          <w:rFonts w:hint="eastAsia" w:ascii="楷体_GB2312" w:hAnsi="Calibri" w:eastAsia="楷体_GB2312" w:cs="宋体"/>
          <w:b/>
          <w:kern w:val="0"/>
          <w:sz w:val="32"/>
          <w:szCs w:val="32"/>
          <w:highlight w:val="none"/>
        </w:rPr>
      </w:pPr>
    </w:p>
    <w:p>
      <w:pPr>
        <w:numPr>
          <w:ilvl w:val="0"/>
          <w:numId w:val="2"/>
        </w:num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公安专用装备购置与设施购建</w:t>
      </w:r>
    </w:p>
    <w:p>
      <w:pPr>
        <w:numPr>
          <w:ilvl w:val="0"/>
          <w:numId w:val="0"/>
        </w:numPr>
        <w:ind w:firstLine="640" w:firstLineChars="200"/>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（1）项目概述</w:t>
      </w:r>
      <w:r>
        <w:rPr>
          <w:rFonts w:hint="eastAsia" w:ascii="Adobe 仿宋 Std R" w:hAnsi="Adobe 仿宋 Std R" w:eastAsia="Adobe 仿宋 Std R"/>
          <w:sz w:val="32"/>
          <w:szCs w:val="32"/>
          <w:highlight w:val="none"/>
          <w:lang w:val="en-US" w:eastAsia="zh-CN"/>
        </w:rPr>
        <w:t>:保障机动车辆、非机动车辆及驾驶员管理等工作的顺利进行，保质保量各项工作任务。</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（2）立项依据</w:t>
      </w:r>
      <w:r>
        <w:rPr>
          <w:rFonts w:hint="eastAsia" w:ascii="Adobe 仿宋 Std R" w:hAnsi="Adobe 仿宋 Std R" w:eastAsia="Adobe 仿宋 Std R"/>
          <w:sz w:val="32"/>
          <w:szCs w:val="32"/>
          <w:highlight w:val="none"/>
          <w:lang w:val="en-US" w:eastAsia="zh-CN"/>
        </w:rPr>
        <w:t>:公安部《关于进一步加强驾驶人考试场地及考试系统规范管理的通知》、《机动车驾驶人考试工作规范》。</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（3）实施主体</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购置各项专用机动车和非机动车证芯、号牌，、购置事故处理的防护、勘查、科技装备等，购置驾驶员考试考场等专用设施的费用等开支。</w:t>
      </w:r>
    </w:p>
    <w:p>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（4）实施方案</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购置专用设备，提高办案效率，提升群众对道路交通安全管理工作的满意度</w:t>
      </w:r>
      <w:r>
        <w:rPr>
          <w:rFonts w:hint="eastAsia" w:ascii="Adobe 仿宋 Std R" w:hAnsi="Adobe 仿宋 Std R" w:eastAsia="Adobe 仿宋 Std R"/>
          <w:sz w:val="32"/>
          <w:szCs w:val="32"/>
          <w:highlight w:val="none"/>
          <w:lang w:eastAsia="zh-CN"/>
        </w:rPr>
        <w:t>。</w:t>
      </w:r>
    </w:p>
    <w:p>
      <w:pPr>
        <w:ind w:firstLine="642"/>
        <w:rPr>
          <w:rFonts w:hint="default"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（5）实施周期</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1年</w:t>
      </w:r>
    </w:p>
    <w:p>
      <w:pPr>
        <w:ind w:firstLine="642"/>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t>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:617.49万元</w:t>
      </w:r>
    </w:p>
    <w:p>
      <w:pPr>
        <w:ind w:firstLine="640" w:firstLineChars="200"/>
        <w:rPr>
          <w:rFonts w:hint="eastAsia" w:ascii="Adobe 仿宋 Std R" w:hAnsi="Adobe 仿宋 Std R" w:eastAsia="Adobe 仿宋 Std R"/>
          <w:sz w:val="32"/>
          <w:szCs w:val="32"/>
          <w:highlight w:val="none"/>
          <w:lang w:val="en-US" w:eastAsia="zh-CN"/>
        </w:rPr>
      </w:pPr>
      <w:r>
        <w:rPr>
          <w:rFonts w:hint="eastAsia" w:ascii="Adobe 仿宋 Std R" w:hAnsi="Adobe 仿宋 Std R" w:eastAsia="Adobe 仿宋 Std R"/>
          <w:sz w:val="32"/>
          <w:szCs w:val="32"/>
          <w:highlight w:val="none"/>
        </w:rPr>
        <w:t>（7）绩效目标和指标</w:t>
      </w:r>
      <w:r>
        <w:rPr>
          <w:rFonts w:hint="eastAsia" w:ascii="Adobe 仿宋 Std R" w:hAnsi="Adobe 仿宋 Std R" w:eastAsia="Adobe 仿宋 Std R"/>
          <w:sz w:val="32"/>
          <w:szCs w:val="32"/>
          <w:highlight w:val="none"/>
          <w:lang w:eastAsia="zh-CN"/>
        </w:rPr>
        <w:t>：</w:t>
      </w:r>
    </w:p>
    <w:tbl>
      <w:tblPr>
        <w:tblStyle w:val="4"/>
        <w:tblpPr w:leftFromText="180" w:rightFromText="180" w:vertAnchor="text" w:horzAnchor="page" w:tblpX="2092" w:tblpY="540"/>
        <w:tblOverlap w:val="never"/>
        <w:tblW w:w="82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6"/>
        <w:gridCol w:w="1720"/>
        <w:gridCol w:w="2765"/>
        <w:gridCol w:w="25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50" w:hRule="atLeast"/>
        </w:trPr>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产出指标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专用设备购置数量</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质量</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设备故障发生率</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时效</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号牌购置到位及时率</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成本</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号牌购置平均成本</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&lt;=1300万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效益指标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经济效益</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社会效益</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设备利用率</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1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4"/>
                <w:szCs w:val="24"/>
                <w:highlight w:val="none"/>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可持续影响</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群众满意度</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8" w:hRule="atLeast"/>
        </w:trPr>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满意度</w:t>
            </w:r>
          </w:p>
        </w:tc>
        <w:tc>
          <w:tcPr>
            <w:tcW w:w="2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单位人员满意度</w:t>
            </w:r>
          </w:p>
        </w:tc>
        <w:tc>
          <w:tcPr>
            <w:tcW w:w="2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&gt;=95%</w:t>
            </w:r>
          </w:p>
        </w:tc>
      </w:tr>
    </w:tbl>
    <w:p>
      <w:pPr>
        <w:rPr>
          <w:rFonts w:hint="eastAsia" w:ascii="Adobe 仿宋 Std R" w:hAnsi="Adobe 仿宋 Std R" w:eastAsia="Adobe 仿宋 Std R"/>
          <w:sz w:val="32"/>
          <w:szCs w:val="32"/>
          <w:highlight w:val="none"/>
          <w:lang w:val="en-US" w:eastAsia="zh-CN"/>
        </w:rPr>
      </w:pPr>
    </w:p>
    <w:p>
      <w:pPr>
        <w:widowControl/>
        <w:spacing w:line="580" w:lineRule="exact"/>
        <w:ind w:firstLine="640" w:firstLineChars="200"/>
        <w:jc w:val="left"/>
        <w:rPr>
          <w:rFonts w:ascii="楷体_GB2312" w:eastAsia="楷体_GB2312"/>
          <w:b/>
          <w:sz w:val="32"/>
          <w:szCs w:val="30"/>
          <w:highlight w:val="none"/>
        </w:rPr>
      </w:pPr>
      <w:r>
        <w:rPr>
          <w:rFonts w:hint="eastAsia" w:ascii="楷体_GB2312" w:hAnsi="Calibri" w:eastAsia="楷体_GB2312" w:cs="宋体"/>
          <w:b/>
          <w:kern w:val="0"/>
          <w:sz w:val="32"/>
          <w:szCs w:val="32"/>
          <w:highlight w:val="none"/>
        </w:rPr>
        <w:t>二、</w:t>
      </w:r>
      <w:r>
        <w:rPr>
          <w:rFonts w:hint="eastAsia" w:ascii="楷体_GB2312" w:eastAsia="楷体_GB2312"/>
          <w:b/>
          <w:sz w:val="32"/>
          <w:szCs w:val="30"/>
          <w:highlight w:val="none"/>
          <w:lang w:eastAsia="zh-CN"/>
        </w:rPr>
        <w:t>2021</w:t>
      </w:r>
      <w:r>
        <w:rPr>
          <w:rFonts w:hint="eastAsia" w:ascii="楷体_GB2312" w:eastAsia="楷体_GB2312"/>
          <w:b/>
          <w:sz w:val="32"/>
          <w:szCs w:val="30"/>
          <w:highlight w:val="none"/>
        </w:rPr>
        <w:t>年“三公</w:t>
      </w:r>
      <w:r>
        <w:rPr>
          <w:rFonts w:ascii="楷体_GB2312" w:eastAsia="楷体_GB2312"/>
          <w:b/>
          <w:sz w:val="32"/>
          <w:szCs w:val="30"/>
          <w:highlight w:val="none"/>
        </w:rPr>
        <w:t>”</w:t>
      </w:r>
      <w:r>
        <w:rPr>
          <w:rFonts w:hint="eastAsia" w:ascii="楷体_GB2312" w:eastAsia="楷体_GB2312"/>
          <w:b/>
          <w:sz w:val="32"/>
          <w:szCs w:val="30"/>
          <w:highlight w:val="none"/>
        </w:rPr>
        <w:t>经费预算情况说明</w:t>
      </w:r>
    </w:p>
    <w:p>
      <w:pPr>
        <w:ind w:firstLine="640" w:firstLineChars="200"/>
        <w:jc w:val="left"/>
        <w:rPr>
          <w:rFonts w:ascii="仿宋" w:hAnsi="仿宋" w:eastAsia="仿宋"/>
          <w:bCs/>
          <w:sz w:val="32"/>
          <w:szCs w:val="32"/>
          <w:highlight w:val="none"/>
        </w:rPr>
      </w:pPr>
      <w:r>
        <w:rPr>
          <w:rFonts w:hint="eastAsia" w:ascii="仿宋" w:hAnsi="仿宋" w:eastAsia="仿宋"/>
          <w:bCs/>
          <w:sz w:val="32"/>
          <w:szCs w:val="32"/>
          <w:highlight w:val="none"/>
          <w:lang w:eastAsia="zh-CN"/>
        </w:rPr>
        <w:t>2021</w:t>
      </w:r>
      <w:r>
        <w:rPr>
          <w:rFonts w:hint="eastAsia" w:ascii="仿宋" w:hAnsi="仿宋" w:eastAsia="仿宋"/>
          <w:bCs/>
          <w:sz w:val="32"/>
          <w:szCs w:val="32"/>
          <w:highlight w:val="none"/>
        </w:rPr>
        <w:t>年</w:t>
      </w:r>
      <w:r>
        <w:rPr>
          <w:rFonts w:ascii="仿宋" w:hAnsi="仿宋" w:eastAsia="仿宋"/>
          <w:bCs/>
          <w:sz w:val="32"/>
          <w:szCs w:val="32"/>
          <w:highlight w:val="none"/>
        </w:rPr>
        <w:fldChar w:fldCharType="begin"/>
      </w:r>
      <w:r>
        <w:rPr>
          <w:rFonts w:ascii="仿宋" w:hAnsi="仿宋" w:eastAsia="仿宋"/>
          <w:bCs/>
          <w:sz w:val="32"/>
          <w:szCs w:val="32"/>
          <w:highlight w:val="none"/>
        </w:rPr>
        <w:instrText xml:space="preserve">MERGEFIELD ${page400644146.ds215660413_REP_JXJC_AGENCY_WZR_NAME}</w:instrText>
      </w:r>
      <w:r>
        <w:rPr>
          <w:rFonts w:ascii="仿宋" w:hAnsi="仿宋" w:eastAsia="仿宋"/>
          <w:bCs/>
          <w:sz w:val="32"/>
          <w:szCs w:val="32"/>
          <w:highlight w:val="none"/>
        </w:rPr>
        <w:fldChar w:fldCharType="separate"/>
      </w:r>
      <w:r>
        <w:rPr>
          <w:rFonts w:hint="eastAsia" w:ascii="仿宋" w:hAnsi="仿宋" w:eastAsia="仿宋"/>
          <w:bCs/>
          <w:sz w:val="32"/>
          <w:szCs w:val="32"/>
          <w:highlight w:val="none"/>
          <w:lang w:eastAsia="zh-CN"/>
        </w:rPr>
        <w:t>赣州市公安局交通警察支队</w:t>
      </w:r>
      <w:r>
        <w:rPr>
          <w:highlight w:val="none"/>
        </w:rPr>
        <w:fldChar w:fldCharType="end"/>
      </w:r>
      <w:r>
        <w:rPr>
          <w:rFonts w:ascii="仿宋" w:hAnsi="仿宋" w:eastAsia="仿宋"/>
          <w:bCs/>
          <w:sz w:val="32"/>
          <w:szCs w:val="32"/>
          <w:highlight w:val="none"/>
        </w:rPr>
        <w:t>"</w:t>
      </w:r>
      <w:r>
        <w:rPr>
          <w:rFonts w:hint="eastAsia" w:ascii="仿宋" w:hAnsi="仿宋" w:eastAsia="仿宋"/>
          <w:bCs/>
          <w:sz w:val="32"/>
          <w:szCs w:val="32"/>
          <w:highlight w:val="none"/>
        </w:rPr>
        <w:t>三公</w:t>
      </w:r>
      <w:r>
        <w:rPr>
          <w:rFonts w:ascii="仿宋" w:hAnsi="仿宋" w:eastAsia="仿宋"/>
          <w:bCs/>
          <w:sz w:val="32"/>
          <w:szCs w:val="32"/>
          <w:highlight w:val="none"/>
        </w:rPr>
        <w:t>"</w:t>
      </w:r>
      <w:r>
        <w:rPr>
          <w:rFonts w:hint="eastAsia" w:ascii="仿宋" w:hAnsi="仿宋" w:eastAsia="仿宋"/>
          <w:bCs/>
          <w:sz w:val="32"/>
          <w:szCs w:val="32"/>
          <w:highlight w:val="none"/>
        </w:rPr>
        <w:t>经费一般公共预算安排</w:t>
      </w:r>
      <w:r>
        <w:rPr>
          <w:rFonts w:hint="eastAsia" w:ascii="仿宋" w:hAnsi="仿宋" w:eastAsia="仿宋"/>
          <w:bCs/>
          <w:sz w:val="32"/>
          <w:szCs w:val="32"/>
          <w:highlight w:val="none"/>
          <w:lang w:val="en-US" w:eastAsia="zh-CN"/>
        </w:rPr>
        <w:t>203.60</w:t>
      </w:r>
      <w:r>
        <w:rPr>
          <w:rFonts w:hint="eastAsia" w:ascii="仿宋" w:hAnsi="仿宋" w:eastAsia="仿宋"/>
          <w:bCs/>
          <w:sz w:val="32"/>
          <w:szCs w:val="32"/>
          <w:highlight w:val="none"/>
        </w:rPr>
        <w:t>万元，其中：</w:t>
      </w:r>
    </w:p>
    <w:p>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因公出国</w:t>
      </w:r>
      <w:r>
        <w:rPr>
          <w:rFonts w:hint="eastAsia" w:ascii="仿宋" w:hAnsi="仿宋" w:eastAsia="仿宋"/>
          <w:bCs/>
          <w:sz w:val="32"/>
          <w:szCs w:val="32"/>
          <w:highlight w:val="none"/>
          <w:lang w:val="en-US" w:eastAsia="zh-CN"/>
        </w:rPr>
        <w:t xml:space="preserve"> 0</w:t>
      </w:r>
      <w:r>
        <w:rPr>
          <w:rFonts w:ascii="仿宋" w:hAnsi="仿宋" w:eastAsia="仿宋"/>
          <w:bCs/>
          <w:sz w:val="32"/>
          <w:szCs w:val="32"/>
          <w:highlight w:val="none"/>
        </w:rPr>
        <w:t>万元,比上年增（减）</w:t>
      </w:r>
      <w:r>
        <w:rPr>
          <w:rFonts w:hint="eastAsia" w:ascii="仿宋" w:hAnsi="仿宋" w:eastAsia="仿宋"/>
          <w:bCs/>
          <w:sz w:val="32"/>
          <w:szCs w:val="32"/>
          <w:highlight w:val="none"/>
          <w:lang w:val="en-US" w:eastAsia="zh-CN"/>
        </w:rPr>
        <w:t xml:space="preserve"> 0 </w:t>
      </w:r>
      <w:r>
        <w:rPr>
          <w:rFonts w:ascii="仿宋" w:hAnsi="仿宋" w:eastAsia="仿宋"/>
          <w:bCs/>
          <w:sz w:val="32"/>
          <w:szCs w:val="32"/>
          <w:highlight w:val="none"/>
        </w:rPr>
        <w:t>万元，主要原因是：</w:t>
      </w:r>
      <w:r>
        <w:rPr>
          <w:rFonts w:hint="eastAsia" w:ascii="仿宋" w:hAnsi="仿宋" w:eastAsia="仿宋"/>
          <w:bCs/>
          <w:sz w:val="32"/>
          <w:szCs w:val="32"/>
          <w:highlight w:val="none"/>
          <w:lang w:val="en-US" w:eastAsia="zh-CN"/>
        </w:rPr>
        <w:t>无此项目</w:t>
      </w:r>
      <w:r>
        <w:rPr>
          <w:rFonts w:ascii="仿宋" w:hAnsi="仿宋" w:eastAsia="仿宋"/>
          <w:bCs/>
          <w:sz w:val="32"/>
          <w:szCs w:val="32"/>
          <w:highlight w:val="none"/>
        </w:rPr>
        <w:t>。</w:t>
      </w:r>
    </w:p>
    <w:p>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公务接待</w:t>
      </w:r>
      <w:r>
        <w:rPr>
          <w:rFonts w:hint="eastAsia" w:ascii="仿宋" w:hAnsi="仿宋" w:eastAsia="仿宋"/>
          <w:bCs/>
          <w:sz w:val="32"/>
          <w:szCs w:val="32"/>
          <w:highlight w:val="none"/>
          <w:lang w:val="en-US" w:eastAsia="zh-CN"/>
        </w:rPr>
        <w:t>15.00</w:t>
      </w:r>
      <w:r>
        <w:rPr>
          <w:rFonts w:ascii="仿宋" w:hAnsi="仿宋" w:eastAsia="仿宋"/>
          <w:bCs/>
          <w:sz w:val="32"/>
          <w:szCs w:val="32"/>
          <w:highlight w:val="none"/>
        </w:rPr>
        <w:t>万元,比上年减</w:t>
      </w:r>
      <w:r>
        <w:rPr>
          <w:rFonts w:hint="eastAsia" w:ascii="仿宋" w:hAnsi="仿宋" w:eastAsia="仿宋"/>
          <w:bCs/>
          <w:sz w:val="32"/>
          <w:szCs w:val="32"/>
          <w:highlight w:val="none"/>
          <w:lang w:eastAsia="zh-CN"/>
        </w:rPr>
        <w:t>少</w:t>
      </w:r>
      <w:r>
        <w:rPr>
          <w:rFonts w:hint="eastAsia" w:ascii="仿宋" w:hAnsi="仿宋" w:eastAsia="仿宋"/>
          <w:bCs/>
          <w:sz w:val="32"/>
          <w:szCs w:val="32"/>
          <w:highlight w:val="none"/>
          <w:lang w:val="en-US" w:eastAsia="zh-CN"/>
        </w:rPr>
        <w:t xml:space="preserve">1.7 </w:t>
      </w:r>
      <w:r>
        <w:rPr>
          <w:rFonts w:ascii="仿宋" w:hAnsi="仿宋" w:eastAsia="仿宋"/>
          <w:bCs/>
          <w:sz w:val="32"/>
          <w:szCs w:val="32"/>
          <w:highlight w:val="none"/>
        </w:rPr>
        <w:t>万元，主要原因是：</w:t>
      </w:r>
      <w:r>
        <w:rPr>
          <w:rFonts w:hint="eastAsia" w:ascii="仿宋" w:hAnsi="仿宋" w:eastAsia="仿宋"/>
          <w:bCs/>
          <w:sz w:val="32"/>
          <w:szCs w:val="32"/>
          <w:highlight w:val="none"/>
          <w:lang w:val="en-US" w:eastAsia="zh-CN"/>
        </w:rPr>
        <w:t xml:space="preserve">公务接待减少 </w:t>
      </w:r>
      <w:r>
        <w:rPr>
          <w:rFonts w:ascii="仿宋" w:hAnsi="仿宋" w:eastAsia="仿宋"/>
          <w:bCs/>
          <w:sz w:val="32"/>
          <w:szCs w:val="32"/>
          <w:highlight w:val="none"/>
        </w:rPr>
        <w:t>。</w:t>
      </w:r>
    </w:p>
    <w:p>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公务用车运行</w:t>
      </w:r>
      <w:r>
        <w:rPr>
          <w:rFonts w:hint="eastAsia" w:ascii="仿宋" w:hAnsi="仿宋" w:eastAsia="仿宋"/>
          <w:bCs/>
          <w:sz w:val="32"/>
          <w:szCs w:val="32"/>
          <w:highlight w:val="none"/>
          <w:lang w:val="en-US" w:eastAsia="zh-CN"/>
        </w:rPr>
        <w:t>98.60</w:t>
      </w:r>
      <w:r>
        <w:rPr>
          <w:rFonts w:ascii="仿宋" w:hAnsi="仿宋" w:eastAsia="仿宋"/>
          <w:bCs/>
          <w:sz w:val="32"/>
          <w:szCs w:val="32"/>
          <w:highlight w:val="none"/>
        </w:rPr>
        <w:t>万元,比上年减</w:t>
      </w:r>
      <w:r>
        <w:rPr>
          <w:rFonts w:hint="eastAsia" w:ascii="仿宋" w:hAnsi="仿宋" w:eastAsia="仿宋"/>
          <w:bCs/>
          <w:sz w:val="32"/>
          <w:szCs w:val="32"/>
          <w:highlight w:val="none"/>
          <w:lang w:eastAsia="zh-CN"/>
        </w:rPr>
        <w:t>少</w:t>
      </w:r>
      <w:r>
        <w:rPr>
          <w:rFonts w:hint="eastAsia" w:ascii="仿宋" w:hAnsi="仿宋" w:eastAsia="仿宋"/>
          <w:bCs/>
          <w:sz w:val="32"/>
          <w:szCs w:val="32"/>
          <w:highlight w:val="none"/>
          <w:lang w:val="en-US" w:eastAsia="zh-CN"/>
        </w:rPr>
        <w:t>10.90</w:t>
      </w:r>
      <w:r>
        <w:rPr>
          <w:rFonts w:ascii="仿宋" w:hAnsi="仿宋" w:eastAsia="仿宋"/>
          <w:bCs/>
          <w:sz w:val="32"/>
          <w:szCs w:val="32"/>
          <w:highlight w:val="none"/>
        </w:rPr>
        <w:t>万元，主要原因是：</w:t>
      </w:r>
      <w:r>
        <w:rPr>
          <w:rFonts w:hint="eastAsia" w:ascii="仿宋" w:hAnsi="仿宋" w:eastAsia="仿宋"/>
          <w:bCs/>
          <w:sz w:val="32"/>
          <w:szCs w:val="32"/>
          <w:highlight w:val="none"/>
          <w:lang w:val="en-US" w:eastAsia="zh-CN"/>
        </w:rPr>
        <w:t>公务用车运行维护支出减少</w:t>
      </w:r>
      <w:r>
        <w:rPr>
          <w:rFonts w:ascii="仿宋" w:hAnsi="仿宋" w:eastAsia="仿宋"/>
          <w:bCs/>
          <w:sz w:val="32"/>
          <w:szCs w:val="32"/>
          <w:highlight w:val="none"/>
        </w:rPr>
        <w:t>。</w:t>
      </w:r>
    </w:p>
    <w:p>
      <w:pPr>
        <w:ind w:firstLine="640" w:firstLineChars="200"/>
        <w:jc w:val="left"/>
        <w:rPr>
          <w:rFonts w:ascii="仿宋_GB2312" w:eastAsia="仿宋_GB2312"/>
          <w:b/>
          <w:sz w:val="32"/>
          <w:szCs w:val="30"/>
          <w:highlight w:val="none"/>
        </w:rPr>
      </w:pPr>
      <w:r>
        <w:rPr>
          <w:rFonts w:ascii="仿宋" w:hAnsi="仿宋" w:eastAsia="仿宋"/>
          <w:bCs/>
          <w:sz w:val="32"/>
          <w:szCs w:val="32"/>
          <w:highlight w:val="none"/>
        </w:rPr>
        <w:t>公务用车购置</w:t>
      </w:r>
      <w:r>
        <w:rPr>
          <w:rFonts w:hint="eastAsia" w:ascii="仿宋" w:hAnsi="仿宋" w:eastAsia="仿宋"/>
          <w:bCs/>
          <w:sz w:val="32"/>
          <w:szCs w:val="32"/>
          <w:highlight w:val="none"/>
          <w:lang w:val="en-US" w:eastAsia="zh-CN"/>
        </w:rPr>
        <w:t>90.00</w:t>
      </w:r>
      <w:r>
        <w:rPr>
          <w:rFonts w:ascii="仿宋" w:hAnsi="仿宋" w:eastAsia="仿宋"/>
          <w:bCs/>
          <w:sz w:val="32"/>
          <w:szCs w:val="32"/>
          <w:highlight w:val="none"/>
        </w:rPr>
        <w:t>万元,比上年减</w:t>
      </w:r>
      <w:r>
        <w:rPr>
          <w:rFonts w:hint="eastAsia" w:ascii="仿宋" w:hAnsi="仿宋" w:eastAsia="仿宋"/>
          <w:bCs/>
          <w:sz w:val="32"/>
          <w:szCs w:val="32"/>
          <w:highlight w:val="none"/>
          <w:lang w:eastAsia="zh-CN"/>
        </w:rPr>
        <w:t>少</w:t>
      </w:r>
      <w:r>
        <w:rPr>
          <w:rFonts w:hint="eastAsia" w:ascii="仿宋" w:hAnsi="仿宋" w:eastAsia="仿宋"/>
          <w:bCs/>
          <w:sz w:val="32"/>
          <w:szCs w:val="32"/>
          <w:highlight w:val="none"/>
          <w:lang w:val="en-US" w:eastAsia="zh-CN"/>
        </w:rPr>
        <w:t>10.00</w:t>
      </w:r>
      <w:r>
        <w:rPr>
          <w:rFonts w:ascii="仿宋" w:hAnsi="仿宋" w:eastAsia="仿宋"/>
          <w:bCs/>
          <w:sz w:val="32"/>
          <w:szCs w:val="32"/>
          <w:highlight w:val="none"/>
        </w:rPr>
        <w:t>万元，主要原因是：</w:t>
      </w:r>
      <w:r>
        <w:rPr>
          <w:rFonts w:hint="eastAsia" w:ascii="仿宋" w:hAnsi="仿宋" w:eastAsia="仿宋"/>
          <w:bCs/>
          <w:sz w:val="32"/>
          <w:szCs w:val="32"/>
          <w:highlight w:val="none"/>
          <w:lang w:val="en-US" w:eastAsia="zh-CN"/>
        </w:rPr>
        <w:t>公务用车购置减少</w:t>
      </w:r>
      <w:r>
        <w:rPr>
          <w:rFonts w:ascii="仿宋" w:hAnsi="仿宋" w:eastAsia="仿宋"/>
          <w:bCs/>
          <w:sz w:val="32"/>
          <w:szCs w:val="32"/>
          <w:highlight w:val="none"/>
        </w:rPr>
        <w:t>。</w:t>
      </w:r>
    </w:p>
    <w:p>
      <w:pPr>
        <w:widowControl/>
        <w:shd w:val="clear" w:color="auto" w:fill="FFFFFF"/>
        <w:spacing w:line="640" w:lineRule="atLeast"/>
        <w:ind w:firstLine="640"/>
        <w:jc w:val="center"/>
        <w:rPr>
          <w:rFonts w:ascii="Arial" w:hAnsi="Arial" w:cs="Arial"/>
          <w:color w:val="333333"/>
          <w:sz w:val="14"/>
          <w:szCs w:val="14"/>
          <w:highlight w:val="none"/>
        </w:rPr>
      </w:pPr>
      <w:r>
        <w:rPr>
          <w:rFonts w:hint="eastAsia" w:ascii="仿宋_GB2312" w:eastAsia="仿宋_GB2312"/>
          <w:b/>
          <w:sz w:val="32"/>
          <w:szCs w:val="30"/>
          <w:highlight w:val="none"/>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b/>
          <w:bCs/>
          <w:sz w:val="32"/>
          <w:szCs w:val="32"/>
          <w:highlight w:val="none"/>
        </w:rPr>
      </w:pPr>
      <w:r>
        <w:rPr>
          <w:rFonts w:hint="eastAsia" w:ascii="Adobe 仿宋 Std R" w:hAnsi="Adobe 仿宋 Std R" w:eastAsia="Adobe 仿宋 Std R"/>
          <w:b/>
          <w:bCs/>
          <w:sz w:val="32"/>
          <w:szCs w:val="32"/>
          <w:highlight w:val="none"/>
        </w:rPr>
        <w:t>一、收入科目</w:t>
      </w:r>
    </w:p>
    <w:p>
      <w:pPr>
        <w:widowControl/>
        <w:shd w:val="clear" w:color="auto" w:fill="FFFFFF"/>
        <w:spacing w:line="640" w:lineRule="atLeast"/>
        <w:ind w:firstLine="800" w:firstLineChars="250"/>
        <w:jc w:val="left"/>
        <w:rPr>
          <w:rFonts w:ascii="Adobe 仿宋 Std R" w:hAnsi="Adobe 仿宋 Std R" w:eastAsia="Adobe 仿宋 Std R"/>
          <w:sz w:val="32"/>
          <w:szCs w:val="32"/>
          <w:highlight w:val="none"/>
        </w:rPr>
      </w:pPr>
      <w:r>
        <w:rPr>
          <w:rFonts w:hint="eastAsia" w:ascii="仿宋" w:hAnsi="仿宋" w:eastAsia="仿宋"/>
          <w:bCs/>
          <w:sz w:val="32"/>
          <w:szCs w:val="32"/>
          <w:highlight w:val="none"/>
        </w:rPr>
        <w:t>各部门结合实际进行解释</w:t>
      </w:r>
      <w:r>
        <w:rPr>
          <w:rFonts w:hint="eastAsia" w:ascii="Adobe 仿宋 Std R" w:hAnsi="Adobe 仿宋 Std R" w:eastAsia="Adobe 仿宋 Std R"/>
          <w:sz w:val="32"/>
          <w:szCs w:val="32"/>
          <w:highlight w:val="none"/>
        </w:rPr>
        <w:t>。</w:t>
      </w:r>
    </w:p>
    <w:p>
      <w:pPr>
        <w:widowControl/>
        <w:numPr>
          <w:ilvl w:val="0"/>
          <w:numId w:val="3"/>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 w:hAnsi="仿宋" w:eastAsia="仿宋"/>
          <w:bCs/>
          <w:sz w:val="32"/>
          <w:szCs w:val="32"/>
          <w:highlight w:val="none"/>
        </w:rPr>
        <w:t>财政拨款：指</w:t>
      </w:r>
      <w:r>
        <w:rPr>
          <w:rFonts w:hint="eastAsia" w:ascii="仿宋" w:hAnsi="仿宋" w:eastAsia="仿宋"/>
          <w:bCs/>
          <w:sz w:val="32"/>
          <w:szCs w:val="32"/>
          <w:highlight w:val="none"/>
          <w:lang w:val="en-US" w:eastAsia="zh-CN"/>
        </w:rPr>
        <w:t>市</w:t>
      </w:r>
      <w:r>
        <w:rPr>
          <w:rFonts w:hint="eastAsia" w:ascii="仿宋" w:hAnsi="仿宋" w:eastAsia="仿宋"/>
          <w:bCs/>
          <w:sz w:val="32"/>
          <w:szCs w:val="32"/>
          <w:highlight w:val="none"/>
        </w:rPr>
        <w:t>级财政当年拨付的资金</w:t>
      </w:r>
      <w:r>
        <w:rPr>
          <w:rFonts w:hint="eastAsia" w:ascii="仿宋_GB2312" w:hAnsi="Times New Roman" w:eastAsia="仿宋_GB2312" w:cs="Times New Roman"/>
          <w:color w:val="000000"/>
          <w:sz w:val="32"/>
          <w:szCs w:val="30"/>
          <w:highlight w:val="none"/>
        </w:rPr>
        <w:t>。</w:t>
      </w:r>
    </w:p>
    <w:p>
      <w:pPr>
        <w:widowControl/>
        <w:numPr>
          <w:ilvl w:val="0"/>
          <w:numId w:val="3"/>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 w:hAnsi="仿宋" w:eastAsia="仿宋"/>
          <w:bCs/>
          <w:sz w:val="32"/>
          <w:szCs w:val="32"/>
          <w:highlight w:val="none"/>
        </w:rPr>
        <w:t>教育收费资金收入：反映实行专项管理的高中以上学费、住宿费，高校委托培养费，函大、电大、夜大及短训班培训费等教育收费取得的收入</w:t>
      </w:r>
      <w:r>
        <w:rPr>
          <w:rFonts w:hint="eastAsia" w:ascii="仿宋_GB2312" w:hAnsi="Times New Roman" w:eastAsia="仿宋_GB2312" w:cs="Times New Roman"/>
          <w:color w:val="000000"/>
          <w:sz w:val="32"/>
          <w:szCs w:val="30"/>
          <w:highlight w:val="none"/>
        </w:rPr>
        <w:t>。</w:t>
      </w:r>
    </w:p>
    <w:p>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（三）</w:t>
      </w:r>
      <w:r>
        <w:rPr>
          <w:rFonts w:hint="eastAsia" w:ascii="仿宋" w:hAnsi="仿宋" w:eastAsia="仿宋"/>
          <w:bCs/>
          <w:sz w:val="32"/>
          <w:szCs w:val="32"/>
          <w:highlight w:val="none"/>
        </w:rPr>
        <w:t>事业收入：指事业单位开展专业业务活动及辅助活动取得的收入</w:t>
      </w:r>
      <w:r>
        <w:rPr>
          <w:rFonts w:hint="eastAsia" w:ascii="仿宋_GB2312" w:eastAsia="仿宋_GB2312"/>
          <w:color w:val="000000"/>
          <w:sz w:val="32"/>
          <w:szCs w:val="30"/>
          <w:highlight w:val="none"/>
        </w:rPr>
        <w:t>。</w:t>
      </w:r>
    </w:p>
    <w:p>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（四）</w:t>
      </w:r>
      <w:r>
        <w:rPr>
          <w:rFonts w:hint="eastAsia" w:ascii="仿宋" w:hAnsi="仿宋" w:eastAsia="仿宋"/>
          <w:bCs/>
          <w:sz w:val="32"/>
          <w:szCs w:val="32"/>
          <w:highlight w:val="none"/>
        </w:rPr>
        <w:t>事业单位经营收入：指事业单位在专业业务活动及辅助活动之外开展非独立核算经营活动取得的收入</w:t>
      </w:r>
      <w:r>
        <w:rPr>
          <w:rFonts w:hint="eastAsia" w:ascii="仿宋_GB2312" w:eastAsia="仿宋_GB2312"/>
          <w:color w:val="000000"/>
          <w:sz w:val="32"/>
          <w:szCs w:val="30"/>
          <w:highlight w:val="none"/>
        </w:rPr>
        <w:t>。</w:t>
      </w:r>
    </w:p>
    <w:p>
      <w:pPr>
        <w:widowControl/>
        <w:spacing w:line="580" w:lineRule="exact"/>
        <w:ind w:firstLine="636"/>
        <w:jc w:val="left"/>
        <w:rPr>
          <w:rFonts w:ascii="Adobe 仿宋 Std R" w:hAnsi="Adobe 仿宋 Std R" w:eastAsia="Adobe 仿宋 Std R"/>
          <w:sz w:val="32"/>
          <w:szCs w:val="32"/>
          <w:highlight w:val="none"/>
        </w:rPr>
      </w:pPr>
      <w:r>
        <w:rPr>
          <w:rFonts w:hint="eastAsia" w:ascii="仿宋_GB2312" w:eastAsia="仿宋_GB2312"/>
          <w:sz w:val="32"/>
          <w:szCs w:val="30"/>
          <w:highlight w:val="none"/>
        </w:rPr>
        <w:t>（</w:t>
      </w:r>
      <w:r>
        <w:rPr>
          <w:rFonts w:hint="eastAsia" w:ascii="Adobe 仿宋 Std R" w:hAnsi="Adobe 仿宋 Std R" w:eastAsia="Adobe 仿宋 Std R"/>
          <w:sz w:val="32"/>
          <w:szCs w:val="32"/>
          <w:highlight w:val="none"/>
        </w:rPr>
        <w:t>五）</w:t>
      </w:r>
      <w:r>
        <w:rPr>
          <w:rFonts w:hint="eastAsia" w:ascii="仿宋" w:hAnsi="仿宋" w:eastAsia="仿宋"/>
          <w:bCs/>
          <w:sz w:val="32"/>
          <w:szCs w:val="32"/>
          <w:highlight w:val="none"/>
        </w:rPr>
        <w:t>附属单位上缴收入：反映事业单位附属的独立核算单位按规定标准或比例缴纳的各项收入。包括附属的事业单位上缴的收入和附属的企业上缴的利润等</w:t>
      </w:r>
      <w:r>
        <w:rPr>
          <w:rFonts w:hint="eastAsia" w:ascii="仿宋_GB2312" w:eastAsia="仿宋_GB2312"/>
          <w:color w:val="000000"/>
          <w:sz w:val="32"/>
          <w:szCs w:val="30"/>
          <w:highlight w:val="none"/>
        </w:rPr>
        <w:t>。</w:t>
      </w:r>
    </w:p>
    <w:p>
      <w:pPr>
        <w:spacing w:line="600" w:lineRule="exact"/>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（六）</w:t>
      </w:r>
      <w:r>
        <w:rPr>
          <w:rFonts w:hint="eastAsia" w:ascii="仿宋" w:hAnsi="仿宋" w:eastAsia="仿宋"/>
          <w:bCs/>
          <w:sz w:val="32"/>
          <w:szCs w:val="32"/>
          <w:highlight w:val="none"/>
        </w:rPr>
        <w:t>上级补助收入：反映事业单位从主管部门和上级单位取得的非财政补助收入</w:t>
      </w:r>
      <w:r>
        <w:rPr>
          <w:rFonts w:hint="eastAsia" w:ascii="仿宋_GB2312" w:eastAsia="仿宋_GB2312"/>
          <w:color w:val="000000"/>
          <w:sz w:val="32"/>
          <w:szCs w:val="30"/>
          <w:highlight w:val="none"/>
        </w:rPr>
        <w:t>。</w:t>
      </w:r>
    </w:p>
    <w:p>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（七）</w:t>
      </w:r>
      <w:r>
        <w:rPr>
          <w:rFonts w:hint="eastAsia" w:ascii="仿宋" w:hAnsi="仿宋" w:eastAsia="仿宋"/>
          <w:bCs/>
          <w:sz w:val="32"/>
          <w:szCs w:val="32"/>
          <w:highlight w:val="none"/>
        </w:rPr>
        <w:t>其他收入：指除财政拨款、事业收入、事业单位经营收入等以外的各项收入</w:t>
      </w:r>
      <w:r>
        <w:rPr>
          <w:rFonts w:hint="eastAsia" w:ascii="仿宋_GB2312" w:eastAsia="仿宋_GB2312"/>
          <w:color w:val="000000"/>
          <w:sz w:val="32"/>
          <w:szCs w:val="30"/>
          <w:highlight w:val="none"/>
        </w:rPr>
        <w:t>。</w:t>
      </w:r>
    </w:p>
    <w:p>
      <w:pPr>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（八）</w:t>
      </w:r>
      <w:r>
        <w:rPr>
          <w:rFonts w:hint="eastAsia" w:ascii="仿宋" w:hAnsi="仿宋" w:eastAsia="仿宋"/>
          <w:bCs/>
          <w:sz w:val="32"/>
          <w:szCs w:val="32"/>
          <w:highlight w:val="none"/>
        </w:rPr>
        <w:t>使用非财政拨款结余：填列历年滚存的非限定用途的非统计财政拨款结余弥补</w:t>
      </w:r>
      <w:r>
        <w:rPr>
          <w:rFonts w:hint="eastAsia" w:ascii="仿宋" w:hAnsi="仿宋" w:eastAsia="仿宋"/>
          <w:bCs/>
          <w:sz w:val="32"/>
          <w:szCs w:val="32"/>
          <w:highlight w:val="none"/>
          <w:lang w:eastAsia="zh-CN"/>
        </w:rPr>
        <w:t>2021</w:t>
      </w:r>
      <w:r>
        <w:rPr>
          <w:rFonts w:hint="eastAsia" w:ascii="仿宋" w:hAnsi="仿宋" w:eastAsia="仿宋"/>
          <w:bCs/>
          <w:sz w:val="32"/>
          <w:szCs w:val="32"/>
          <w:highlight w:val="none"/>
        </w:rPr>
        <w:t>年收支差额的数额</w:t>
      </w:r>
      <w:r>
        <w:rPr>
          <w:rFonts w:hint="eastAsia" w:ascii="仿宋_GB2312" w:eastAsia="仿宋_GB2312"/>
          <w:color w:val="000000"/>
          <w:sz w:val="32"/>
          <w:szCs w:val="30"/>
          <w:highlight w:val="none"/>
        </w:rPr>
        <w:t>。</w:t>
      </w:r>
    </w:p>
    <w:p>
      <w:pPr>
        <w:spacing w:line="600" w:lineRule="exact"/>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（九）</w:t>
      </w:r>
      <w:r>
        <w:rPr>
          <w:rFonts w:hint="eastAsia" w:ascii="仿宋" w:hAnsi="仿宋" w:eastAsia="仿宋"/>
          <w:bCs/>
          <w:sz w:val="32"/>
          <w:szCs w:val="32"/>
          <w:highlight w:val="none"/>
        </w:rPr>
        <w:t>上年结转和结余：填列2021年全部结转和结余的资金数，包括当年结转结余资金和历年滚存结转结余资金。</w:t>
      </w:r>
    </w:p>
    <w:p>
      <w:pPr>
        <w:ind w:firstLine="640" w:firstLineChars="200"/>
        <w:rPr>
          <w:rFonts w:ascii="Adobe 仿宋 Std R" w:hAnsi="Adobe 仿宋 Std R" w:eastAsia="Adobe 仿宋 Std R"/>
          <w:b/>
          <w:bCs/>
          <w:sz w:val="32"/>
          <w:szCs w:val="32"/>
          <w:highlight w:val="none"/>
        </w:rPr>
      </w:pPr>
      <w:r>
        <w:rPr>
          <w:rFonts w:hint="eastAsia" w:ascii="Adobe 仿宋 Std R" w:hAnsi="Adobe 仿宋 Std R" w:eastAsia="Adobe 仿宋 Std R"/>
          <w:b/>
          <w:bCs/>
          <w:sz w:val="32"/>
          <w:szCs w:val="32"/>
          <w:highlight w:val="none"/>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基本支出：指为保障正常运转、完成日常工作任务而发生的必要开支，具体分为人员经费和公用经费。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项目支出：指为完成特定的工作任务或事业发展目标，在基本的预算支出以外，财政预算专款安排的支出。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上缴上级支出：指按照财政部门和主管部门的规定上缴上级单位的支出。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三公”经费：指各部门因公出国（境）费、公务用车购置及运行费和公务接待费。其中因公出国（境）费指单位公务出国（境）的住宿费、伙食补助费、杂费、培训费等支出；公务用车购置及运行维护费指单位公务用车购置费及租用费、燃料费、维修费、过路过桥费、保险费；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w:t>
      </w:r>
      <w:r>
        <w:rPr>
          <w:rFonts w:hint="default" w:ascii="仿宋_GB2312" w:hAnsi="仿宋_GB2312" w:eastAsia="仿宋_GB2312" w:cs="仿宋_GB2312"/>
          <w:sz w:val="32"/>
          <w:szCs w:val="32"/>
          <w:lang w:val="en-US" w:eastAsia="zh-CN"/>
        </w:rPr>
        <w:t>机关运行经费：指为各部门公用经费，包括办公及印刷费、邮电费、差旅费、会议费、福利费、日常维修费、专用材料及一般设备购置费、办公用房水电费、办公用房取暖费、办公用房物业费、公务用车运行费以及其他费用。</w:t>
      </w:r>
    </w:p>
    <w:p>
      <w:pPr>
        <w:rPr>
          <w:highlight w:val="none"/>
        </w:rPr>
      </w:pPr>
      <w:bookmarkStart w:id="0" w:name="_GoBack"/>
      <w:bookmarkEnd w:id="0"/>
    </w:p>
    <w:p>
      <w:pPr>
        <w:rPr>
          <w:highlight w:val="none"/>
        </w:rPr>
      </w:pPr>
    </w:p>
    <w:p>
      <w:pPr>
        <w:rPr>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w:t>
      </w:r>
      <w:r>
        <w:rPr>
          <w:rFonts w:hint="eastAsia" w:ascii="Times New Roman" w:hAnsi="Times New Roman" w:eastAsia="仿宋_GB2312" w:cs="Times New Roman"/>
          <w:sz w:val="32"/>
          <w:szCs w:val="32"/>
          <w:lang w:val="en-US" w:eastAsia="zh-CN"/>
        </w:rPr>
        <w:t>赣州市公安局交通警察支队</w:t>
      </w:r>
      <w:r>
        <w:rPr>
          <w:rFonts w:hint="default" w:ascii="Times New Roman" w:hAnsi="Times New Roman" w:eastAsia="仿宋_GB2312" w:cs="Times New Roman"/>
          <w:sz w:val="32"/>
          <w:szCs w:val="32"/>
          <w:lang w:val="en-US" w:eastAsia="zh-CN"/>
        </w:rPr>
        <w:t>2021年部门预算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表</w:t>
      </w:r>
    </w:p>
    <w:p>
      <w:pPr>
        <w:rPr>
          <w:highlight w:val="none"/>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auto"/>
    <w:pitch w:val="default"/>
    <w:sig w:usb0="00000000" w:usb1="00000000" w:usb2="00000016" w:usb3="00000000" w:csb0="00060007"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Adobe 仿宋 Std R">
    <w:altName w:val="仿宋"/>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auto"/>
    <w:pitch w:val="default"/>
    <w:sig w:usb0="00000000" w:usb1="00000000" w:usb2="00000000" w:usb3="00000000" w:csb0="2000019F" w:csb1="00000000"/>
  </w:font>
  <w:font w:name="华光魏体_CNKI">
    <w:altName w:val="宋体"/>
    <w:panose1 w:val="02000500000000000000"/>
    <w:charset w:val="86"/>
    <w:family w:val="auto"/>
    <w:pitch w:val="default"/>
    <w:sig w:usb0="00000000" w:usb1="00000000" w:usb2="00000016" w:usb3="00000000" w:csb0="0004000F" w:csb1="00000000"/>
  </w:font>
  <w:font w:name="华光黑体_CNKI">
    <w:altName w:val="黑体"/>
    <w:panose1 w:val="02000500000000000000"/>
    <w:charset w:val="86"/>
    <w:family w:val="auto"/>
    <w:pitch w:val="default"/>
    <w:sig w:usb0="00000000" w:usb1="00000000" w:usb2="00000016" w:usb3="00000000" w:csb0="0004000F" w:csb1="00000000"/>
  </w:font>
  <w:font w:name="华光黑变_CNKI">
    <w:altName w:val="黑体"/>
    <w:panose1 w:val="02000500000000000000"/>
    <w:charset w:val="86"/>
    <w:family w:val="auto"/>
    <w:pitch w:val="default"/>
    <w:sig w:usb0="00000000" w:usb1="00000000" w:usb2="00000016" w:usb3="00000000" w:csb0="0004000F" w:csb1="00000000"/>
  </w:font>
  <w:font w:name="华文行楷">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40EFDA"/>
    <w:multiLevelType w:val="singleLevel"/>
    <w:tmpl w:val="D940EFDA"/>
    <w:lvl w:ilvl="0" w:tentative="0">
      <w:start w:val="6"/>
      <w:numFmt w:val="decimal"/>
      <w:lvlText w:val="%1."/>
      <w:lvlJc w:val="left"/>
      <w:pPr>
        <w:tabs>
          <w:tab w:val="left" w:pos="312"/>
        </w:tabs>
      </w:pPr>
    </w:lvl>
  </w:abstractNum>
  <w:abstractNum w:abstractNumId="1">
    <w:nsid w:val="00000007"/>
    <w:multiLevelType w:val="singleLevel"/>
    <w:tmpl w:val="00000007"/>
    <w:lvl w:ilvl="0" w:tentative="0">
      <w:start w:val="1"/>
      <w:numFmt w:val="chineseCounting"/>
      <w:suff w:val="nothing"/>
      <w:lvlText w:val="（%1）"/>
      <w:lvlJc w:val="left"/>
      <w:rPr>
        <w:rFonts w:hint="eastAsia"/>
      </w:rPr>
    </w:lvl>
  </w:abstractNum>
  <w:abstractNum w:abstractNumId="2">
    <w:nsid w:val="4C7F0ACE"/>
    <w:multiLevelType w:val="singleLevel"/>
    <w:tmpl w:val="4C7F0ACE"/>
    <w:lvl w:ilvl="0" w:tentative="0">
      <w:start w:val="3"/>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xY2Q2OTBmNTgyMzQwYmY4MWVkODdlZWU3ZTljNWEifQ=="/>
  </w:docVars>
  <w:rsids>
    <w:rsidRoot w:val="5F6F7EAC"/>
    <w:rsid w:val="02353A89"/>
    <w:rsid w:val="02421D02"/>
    <w:rsid w:val="028D5673"/>
    <w:rsid w:val="03B132A6"/>
    <w:rsid w:val="03EA4C33"/>
    <w:rsid w:val="044A7E29"/>
    <w:rsid w:val="052B3E59"/>
    <w:rsid w:val="05BD6DC4"/>
    <w:rsid w:val="05C375FE"/>
    <w:rsid w:val="06316315"/>
    <w:rsid w:val="07126147"/>
    <w:rsid w:val="071F3380"/>
    <w:rsid w:val="07506C6F"/>
    <w:rsid w:val="08B80F70"/>
    <w:rsid w:val="0AC00386"/>
    <w:rsid w:val="0AF37984"/>
    <w:rsid w:val="0C2B1A59"/>
    <w:rsid w:val="0C6978F1"/>
    <w:rsid w:val="0DC91529"/>
    <w:rsid w:val="0E2D3866"/>
    <w:rsid w:val="0E8D69FB"/>
    <w:rsid w:val="0F24110D"/>
    <w:rsid w:val="0FA638D0"/>
    <w:rsid w:val="0FC3557A"/>
    <w:rsid w:val="10556273"/>
    <w:rsid w:val="117B6FDE"/>
    <w:rsid w:val="11877731"/>
    <w:rsid w:val="11B30526"/>
    <w:rsid w:val="124473D0"/>
    <w:rsid w:val="126A67B2"/>
    <w:rsid w:val="12AF0CEE"/>
    <w:rsid w:val="12CF6E1F"/>
    <w:rsid w:val="12DE15D3"/>
    <w:rsid w:val="13394A5B"/>
    <w:rsid w:val="13C609E5"/>
    <w:rsid w:val="13C65291"/>
    <w:rsid w:val="15284D87"/>
    <w:rsid w:val="15AC7766"/>
    <w:rsid w:val="15D1541F"/>
    <w:rsid w:val="16096967"/>
    <w:rsid w:val="166250BA"/>
    <w:rsid w:val="1669701B"/>
    <w:rsid w:val="17377504"/>
    <w:rsid w:val="17D47D8A"/>
    <w:rsid w:val="18153CE9"/>
    <w:rsid w:val="195045F0"/>
    <w:rsid w:val="19766A09"/>
    <w:rsid w:val="1A226C75"/>
    <w:rsid w:val="1BD33CBB"/>
    <w:rsid w:val="1C4032FE"/>
    <w:rsid w:val="1CC60D83"/>
    <w:rsid w:val="1D605EE0"/>
    <w:rsid w:val="1D7F39B2"/>
    <w:rsid w:val="1DC87107"/>
    <w:rsid w:val="1DF12CD9"/>
    <w:rsid w:val="1F5C044F"/>
    <w:rsid w:val="203E5DA7"/>
    <w:rsid w:val="206A4772"/>
    <w:rsid w:val="20A0436C"/>
    <w:rsid w:val="20DC1CF1"/>
    <w:rsid w:val="211B39F2"/>
    <w:rsid w:val="2140485C"/>
    <w:rsid w:val="22B81E40"/>
    <w:rsid w:val="230010F2"/>
    <w:rsid w:val="230C7A96"/>
    <w:rsid w:val="235B116F"/>
    <w:rsid w:val="2406098A"/>
    <w:rsid w:val="24572F93"/>
    <w:rsid w:val="24C05FC6"/>
    <w:rsid w:val="26995AE5"/>
    <w:rsid w:val="27133AE9"/>
    <w:rsid w:val="271433BD"/>
    <w:rsid w:val="2747230A"/>
    <w:rsid w:val="289E3886"/>
    <w:rsid w:val="28A30829"/>
    <w:rsid w:val="29010C70"/>
    <w:rsid w:val="298760C9"/>
    <w:rsid w:val="2B9B22FF"/>
    <w:rsid w:val="2C226B80"/>
    <w:rsid w:val="2C410F20"/>
    <w:rsid w:val="2C792640"/>
    <w:rsid w:val="2C9C632F"/>
    <w:rsid w:val="2E516CA5"/>
    <w:rsid w:val="2F0D52C2"/>
    <w:rsid w:val="2F113DBA"/>
    <w:rsid w:val="2F677CAC"/>
    <w:rsid w:val="2FB950E3"/>
    <w:rsid w:val="2FD951A4"/>
    <w:rsid w:val="2FED29FE"/>
    <w:rsid w:val="307206C1"/>
    <w:rsid w:val="311F308B"/>
    <w:rsid w:val="31AA329C"/>
    <w:rsid w:val="32CD7482"/>
    <w:rsid w:val="34B65AB4"/>
    <w:rsid w:val="36581519"/>
    <w:rsid w:val="37666D1D"/>
    <w:rsid w:val="37B87D95"/>
    <w:rsid w:val="39AC0F04"/>
    <w:rsid w:val="3B0A4DAB"/>
    <w:rsid w:val="3B1C2367"/>
    <w:rsid w:val="3CBE61EA"/>
    <w:rsid w:val="3DEA57BB"/>
    <w:rsid w:val="3E23240C"/>
    <w:rsid w:val="3EF45B57"/>
    <w:rsid w:val="3F3643C1"/>
    <w:rsid w:val="403C7340"/>
    <w:rsid w:val="40B76E3C"/>
    <w:rsid w:val="40DB5220"/>
    <w:rsid w:val="41057882"/>
    <w:rsid w:val="420673FA"/>
    <w:rsid w:val="42672AE3"/>
    <w:rsid w:val="4290203A"/>
    <w:rsid w:val="43784FEE"/>
    <w:rsid w:val="43C006B5"/>
    <w:rsid w:val="45FB77CB"/>
    <w:rsid w:val="464447CD"/>
    <w:rsid w:val="4767535F"/>
    <w:rsid w:val="47BF70FF"/>
    <w:rsid w:val="48B12712"/>
    <w:rsid w:val="49315BDC"/>
    <w:rsid w:val="4B536F6C"/>
    <w:rsid w:val="4C3103EA"/>
    <w:rsid w:val="4D6B3488"/>
    <w:rsid w:val="4D783DF7"/>
    <w:rsid w:val="4E015B9A"/>
    <w:rsid w:val="4E7E368F"/>
    <w:rsid w:val="50096F88"/>
    <w:rsid w:val="53DD2C05"/>
    <w:rsid w:val="54336CC9"/>
    <w:rsid w:val="54AB6860"/>
    <w:rsid w:val="54BF40B9"/>
    <w:rsid w:val="54FB77E7"/>
    <w:rsid w:val="5516017D"/>
    <w:rsid w:val="551C2B23"/>
    <w:rsid w:val="56725887"/>
    <w:rsid w:val="573D5660"/>
    <w:rsid w:val="5742657B"/>
    <w:rsid w:val="5B2E3D47"/>
    <w:rsid w:val="5B920779"/>
    <w:rsid w:val="5BAB4EF0"/>
    <w:rsid w:val="5D8F31C2"/>
    <w:rsid w:val="5E8343A9"/>
    <w:rsid w:val="5EEC01A1"/>
    <w:rsid w:val="5F5C5326"/>
    <w:rsid w:val="5F6F7EAC"/>
    <w:rsid w:val="60B82A30"/>
    <w:rsid w:val="61F2740B"/>
    <w:rsid w:val="639A2215"/>
    <w:rsid w:val="662B7800"/>
    <w:rsid w:val="66613222"/>
    <w:rsid w:val="66BF1D71"/>
    <w:rsid w:val="675D178D"/>
    <w:rsid w:val="6905708D"/>
    <w:rsid w:val="6B7D28AC"/>
    <w:rsid w:val="6D535020"/>
    <w:rsid w:val="6DCE0231"/>
    <w:rsid w:val="6E8126B3"/>
    <w:rsid w:val="6ED10E6E"/>
    <w:rsid w:val="6F0D3F47"/>
    <w:rsid w:val="6F7808F7"/>
    <w:rsid w:val="708244C1"/>
    <w:rsid w:val="70E433CD"/>
    <w:rsid w:val="7161057A"/>
    <w:rsid w:val="71E2790D"/>
    <w:rsid w:val="73441470"/>
    <w:rsid w:val="734463A5"/>
    <w:rsid w:val="734737A0"/>
    <w:rsid w:val="742F0FFC"/>
    <w:rsid w:val="74FE2645"/>
    <w:rsid w:val="75412B4C"/>
    <w:rsid w:val="75A5137D"/>
    <w:rsid w:val="781C169F"/>
    <w:rsid w:val="78295A6F"/>
    <w:rsid w:val="783E7867"/>
    <w:rsid w:val="78B24D8D"/>
    <w:rsid w:val="7977675F"/>
    <w:rsid w:val="79865022"/>
    <w:rsid w:val="7A1940E8"/>
    <w:rsid w:val="7C06244A"/>
    <w:rsid w:val="7D5213AF"/>
    <w:rsid w:val="7D973D43"/>
    <w:rsid w:val="7EF93776"/>
    <w:rsid w:val="7F623E3B"/>
    <w:rsid w:val="7FA93818"/>
    <w:rsid w:val="7FCF2E5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p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19</Pages>
  <Words>4879</Words>
  <Characters>5600</Characters>
  <Lines>0</Lines>
  <Paragraphs>0</Paragraphs>
  <ScaleCrop>false</ScaleCrop>
  <LinksUpToDate>false</LinksUpToDate>
  <CharactersWithSpaces>5711</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2022-08-31T07:21:00Z</dcterms:created>
  <dc:creator>lenovo-pc</dc:creator>
  <cp:lastModifiedBy>朱丽莹</cp:lastModifiedBy>
  <dcterms:modified xsi:type="dcterms:W3CDTF">2022-09-03T04:28:48Z</dcterms:modified>
  <dc:title>赣州市公安局交通警察支队2021年</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y fmtid="{D5CDD505-2E9C-101B-9397-08002B2CF9AE}" pid="3" name="ICV">
    <vt:lpwstr>6F2E29514215475E889358305E96136B</vt:lpwstr>
  </property>
</Properties>
</file>