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${page400644146.ds509943833_REP_JXJC_AGENCY_WZR_NAME}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赣州市公安局章贡分局</w:t>
      </w:r>
      <w:r>
        <w:fldChar w:fldCharType="end"/>
      </w:r>
      <w:r>
        <w:rPr>
          <w:rFonts w:hint="eastAsia" w:ascii="黑体" w:hAnsi="黑体" w:eastAsia="黑体" w:cs="Times New Roman"/>
          <w:b/>
          <w:bCs/>
          <w:color w:val="000000"/>
          <w:kern w:val="0"/>
          <w:sz w:val="44"/>
          <w:szCs w:val="44"/>
          <w:lang w:eastAsia="zh-CN"/>
        </w:rPr>
        <w:t>2021</w:t>
      </w:r>
      <w:r>
        <w:rPr>
          <w:rFonts w:hint="eastAsia" w:ascii="黑体" w:hAnsi="黑体" w:eastAsia="黑体" w:cs="Times New Roman"/>
          <w:b/>
          <w:bCs/>
          <w:color w:val="000000"/>
          <w:kern w:val="0"/>
          <w:sz w:val="44"/>
          <w:szCs w:val="44"/>
        </w:rPr>
        <w:t>年部门预算</w:t>
      </w:r>
    </w:p>
    <w:p>
      <w:pPr>
        <w:pStyle w:val="6"/>
        <w:spacing w:line="600" w:lineRule="atLeast"/>
        <w:jc w:val="center"/>
        <w:rPr>
          <w:rFonts w:ascii="黑体" w:hAnsi="黑体" w:eastAsia="黑体"/>
          <w:color w:val="000000"/>
          <w:sz w:val="32"/>
          <w:szCs w:val="32"/>
        </w:rPr>
      </w:pPr>
    </w:p>
    <w:p>
      <w:pPr>
        <w:pStyle w:val="6"/>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6"/>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赣州市公安局章贡分局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概况</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第二部分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赣州市公安局章贡分局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第三部分 </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MERGEFIELD ${page400644146.ds509943833_REP_JXJC_AGENCY_WZR_NAME}</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lang w:eastAsia="zh-CN"/>
        </w:rPr>
        <w:t>赣州市公安局章贡分局</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w:t>
      </w:r>
      <w:r>
        <w:rPr>
          <w:rFonts w:hint="eastAsia" w:ascii="仿宋_GB2312" w:hAnsi="仿宋_GB2312" w:eastAsia="仿宋_GB2312" w:cs="仿宋_GB2312"/>
          <w:b/>
          <w:bCs/>
          <w:sz w:val="32"/>
          <w:szCs w:val="32"/>
          <w:lang w:eastAsia="zh-CN"/>
        </w:rPr>
        <w:t>公安局章贡分</w:t>
      </w:r>
      <w:r>
        <w:rPr>
          <w:rFonts w:hint="eastAsia" w:ascii="仿宋_GB2312" w:eastAsia="仿宋_GB2312"/>
          <w:b/>
          <w:sz w:val="32"/>
          <w:szCs w:val="30"/>
          <w:lang w:eastAsia="zh-CN"/>
        </w:rPr>
        <w:t>局</w:t>
      </w:r>
      <w:r>
        <w:fldChar w:fldCharType="end"/>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一、部门主要职责</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赣州市公安局章贡分局位于赣州市章贡区阳明路28号，肩负着赣州市中心城区公安保卫重任。章贡分局始终坚持习近平新时代中国特色社会主义思想，秉承苏区精神，紧贴市、区工作大局，艰苦奋斗，务实创新，全面建设民生警务。主要职责有，预防、制止和侦查违法犯罪活动;防范、打击恐怖活动;维护社会治安秩序，制止危害社会治安秩序的行为;承担部分消防管理、危险物品管理及特种行业的管理;管理户口、居民身份证、国籍、出入境事务和外国人在中国境内居留、旅行的有关事务;警卫国家规定的特定人员、守卫重要场所和设施;管理集会、游行和示威活动;监督管理公共信息网络安全监察工作;指导和监督国家机关、社会团体、企业事业组织和重点建设工程的治安保卫工作。</w:t>
      </w: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2021年</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${page400644146.ds204012617_REP_JXJC_AGENCY_WZR_NAME}</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赣州市公安局章贡分局</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t>共有预算单位</w:t>
      </w:r>
      <w:r>
        <w:rPr>
          <w:rFonts w:hint="eastAsia" w:ascii="仿宋" w:hAnsi="仿宋" w:eastAsia="仿宋"/>
          <w:color w:val="auto"/>
          <w:sz w:val="32"/>
          <w:szCs w:val="32"/>
          <w:lang w:val="en-US" w:eastAsia="zh-CN"/>
        </w:rPr>
        <w:t>1</w:t>
      </w:r>
      <w:r>
        <w:rPr>
          <w:rFonts w:hint="eastAsia" w:ascii="仿宋" w:hAnsi="仿宋" w:eastAsia="仿宋"/>
          <w:color w:val="auto"/>
          <w:sz w:val="32"/>
          <w:szCs w:val="32"/>
          <w:lang w:eastAsia="zh-CN"/>
        </w:rPr>
        <w:t>个，包括：</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${page400644146.ds204012617_REP_JXJC_AGENCY_WZR_NAME}</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赣州市公安局章贡分局</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t>。</w:t>
      </w:r>
    </w:p>
    <w:p>
      <w:pPr>
        <w:ind w:firstLine="640" w:firstLineChars="200"/>
        <w:rPr>
          <w:rFonts w:ascii="仿宋" w:hAnsi="仿宋" w:eastAsia="仿宋"/>
          <w:sz w:val="32"/>
          <w:szCs w:val="32"/>
        </w:rPr>
      </w:pP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${page400644146.ds532982397_REP_JX_BAS_AGENCY_INFO_ZYFRS_S_BZRSXJ}</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编制人数小计</w:t>
      </w:r>
      <w:r>
        <w:rPr>
          <w:rFonts w:hint="eastAsia" w:ascii="仿宋" w:hAnsi="仿宋" w:eastAsia="仿宋"/>
          <w:color w:val="auto"/>
          <w:sz w:val="32"/>
          <w:szCs w:val="32"/>
          <w:lang w:val="en-US" w:eastAsia="zh-CN"/>
        </w:rPr>
        <w:t>409</w:t>
      </w:r>
      <w:r>
        <w:rPr>
          <w:rFonts w:hint="eastAsia" w:ascii="仿宋" w:hAnsi="仿宋" w:eastAsia="仿宋"/>
          <w:color w:val="auto"/>
          <w:sz w:val="32"/>
          <w:szCs w:val="32"/>
          <w:lang w:eastAsia="zh-CN"/>
        </w:rPr>
        <w:t>人,</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t>其中：</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${page400644146.ds532982397_REP_JX_BAS_AGENCY_INFO_ZYFRS_S_BZRSMX}</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行政编制人数</w:t>
      </w:r>
      <w:r>
        <w:rPr>
          <w:rFonts w:hint="eastAsia" w:ascii="仿宋" w:hAnsi="仿宋" w:eastAsia="仿宋"/>
          <w:color w:val="auto"/>
          <w:sz w:val="32"/>
          <w:szCs w:val="32"/>
          <w:lang w:val="en-US" w:eastAsia="zh-CN"/>
        </w:rPr>
        <w:t>409</w:t>
      </w:r>
      <w:r>
        <w:rPr>
          <w:rFonts w:hint="eastAsia" w:ascii="仿宋" w:hAnsi="仿宋" w:eastAsia="仿宋"/>
          <w:color w:val="auto"/>
          <w:sz w:val="32"/>
          <w:szCs w:val="32"/>
          <w:lang w:eastAsia="zh-CN"/>
        </w:rPr>
        <w:t>人。</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${page400644146.ds532982397_REP_JX_BAS_AGENCY_INFO_ZYFRS_S_SYRSXJ}</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实有人数小计</w:t>
      </w:r>
      <w:r>
        <w:rPr>
          <w:rFonts w:hint="eastAsia" w:ascii="仿宋" w:hAnsi="仿宋" w:eastAsia="仿宋"/>
          <w:color w:val="auto"/>
          <w:sz w:val="32"/>
          <w:szCs w:val="32"/>
          <w:lang w:val="en-US" w:eastAsia="zh-CN"/>
        </w:rPr>
        <w:t>409</w:t>
      </w:r>
      <w:r>
        <w:rPr>
          <w:rFonts w:hint="eastAsia" w:ascii="仿宋" w:hAnsi="仿宋" w:eastAsia="仿宋"/>
          <w:color w:val="auto"/>
          <w:sz w:val="32"/>
          <w:szCs w:val="32"/>
          <w:lang w:eastAsia="zh-CN"/>
        </w:rPr>
        <w:t>人,</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t>其中：</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${page400644146.ds532982397_REP_JX_BAS_AGENCY_INFO_ZYFRS_S_ZZRSXJ}</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在职人数小计</w:t>
      </w:r>
      <w:r>
        <w:rPr>
          <w:rFonts w:hint="eastAsia" w:ascii="仿宋" w:hAnsi="仿宋" w:eastAsia="仿宋"/>
          <w:color w:val="auto"/>
          <w:sz w:val="32"/>
          <w:szCs w:val="32"/>
          <w:lang w:val="en-US" w:eastAsia="zh-CN"/>
        </w:rPr>
        <w:t>409</w:t>
      </w:r>
      <w:r>
        <w:rPr>
          <w:rFonts w:hint="eastAsia" w:ascii="仿宋" w:hAnsi="仿宋" w:eastAsia="仿宋"/>
          <w:color w:val="auto"/>
          <w:sz w:val="32"/>
          <w:szCs w:val="32"/>
          <w:lang w:eastAsia="zh-CN"/>
        </w:rPr>
        <w:t>人,</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${page400644146.ds532982397_REP_JX_BAS_AGENCY_INFO_ZYFRS_S_ZZRSMX}</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行政在职人数</w:t>
      </w:r>
      <w:r>
        <w:rPr>
          <w:rFonts w:hint="eastAsia" w:ascii="仿宋" w:hAnsi="仿宋" w:eastAsia="仿宋"/>
          <w:color w:val="auto"/>
          <w:sz w:val="32"/>
          <w:szCs w:val="32"/>
          <w:lang w:val="en-US" w:eastAsia="zh-CN"/>
        </w:rPr>
        <w:t>409</w:t>
      </w:r>
      <w:r>
        <w:rPr>
          <w:rFonts w:hint="eastAsia" w:ascii="仿宋" w:hAnsi="仿宋" w:eastAsia="仿宋"/>
          <w:color w:val="auto"/>
          <w:sz w:val="32"/>
          <w:szCs w:val="32"/>
          <w:lang w:eastAsia="zh-CN"/>
        </w:rPr>
        <w:t>人。</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${page400644146.ds532982397_REP_JX_BAS_AGENCY_INFO_ZYFRS_S_QTRSMX}</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离休人数小计</w:t>
      </w:r>
      <w:r>
        <w:rPr>
          <w:rFonts w:hint="eastAsia" w:ascii="仿宋" w:hAnsi="仿宋" w:eastAsia="仿宋"/>
          <w:color w:val="auto"/>
          <w:sz w:val="32"/>
          <w:szCs w:val="32"/>
          <w:lang w:val="en-US" w:eastAsia="zh-CN"/>
        </w:rPr>
        <w:t>0</w:t>
      </w:r>
      <w:r>
        <w:rPr>
          <w:rFonts w:hint="eastAsia" w:ascii="仿宋" w:hAnsi="仿宋" w:eastAsia="仿宋"/>
          <w:color w:val="auto"/>
          <w:sz w:val="32"/>
          <w:szCs w:val="32"/>
          <w:lang w:eastAsia="zh-CN"/>
        </w:rPr>
        <w:t>人,退休人数小计</w:t>
      </w:r>
      <w:r>
        <w:rPr>
          <w:rFonts w:hint="eastAsia" w:ascii="仿宋" w:hAnsi="仿宋" w:eastAsia="仿宋"/>
          <w:color w:val="auto"/>
          <w:sz w:val="32"/>
          <w:szCs w:val="32"/>
          <w:lang w:val="en-US" w:eastAsia="zh-CN"/>
        </w:rPr>
        <w:t>143</w:t>
      </w:r>
      <w:r>
        <w:rPr>
          <w:rFonts w:hint="eastAsia" w:ascii="仿宋" w:hAnsi="仿宋" w:eastAsia="仿宋"/>
          <w:color w:val="auto"/>
          <w:sz w:val="32"/>
          <w:szCs w:val="32"/>
          <w:lang w:eastAsia="zh-CN"/>
        </w:rPr>
        <w:t>人,退职人员</w:t>
      </w:r>
      <w:r>
        <w:rPr>
          <w:rFonts w:hint="eastAsia" w:ascii="仿宋" w:hAnsi="仿宋" w:eastAsia="仿宋"/>
          <w:color w:val="auto"/>
          <w:sz w:val="32"/>
          <w:szCs w:val="32"/>
          <w:lang w:val="en-US" w:eastAsia="zh-CN"/>
        </w:rPr>
        <w:t>0</w:t>
      </w:r>
      <w:r>
        <w:rPr>
          <w:rFonts w:hint="eastAsia" w:ascii="仿宋" w:hAnsi="仿宋" w:eastAsia="仿宋"/>
          <w:color w:val="auto"/>
          <w:sz w:val="32"/>
          <w:szCs w:val="32"/>
          <w:lang w:eastAsia="zh-CN"/>
        </w:rPr>
        <w:t>人,遗属人数</w:t>
      </w:r>
      <w:r>
        <w:rPr>
          <w:rFonts w:hint="eastAsia" w:ascii="仿宋" w:hAnsi="仿宋" w:eastAsia="仿宋"/>
          <w:color w:val="auto"/>
          <w:sz w:val="32"/>
          <w:szCs w:val="32"/>
          <w:lang w:val="en-US" w:eastAsia="zh-CN"/>
        </w:rPr>
        <w:t>4</w:t>
      </w:r>
      <w:r>
        <w:rPr>
          <w:rFonts w:hint="eastAsia" w:ascii="仿宋" w:hAnsi="仿宋" w:eastAsia="仿宋"/>
          <w:color w:val="auto"/>
          <w:sz w:val="32"/>
          <w:szCs w:val="32"/>
          <w:lang w:eastAsia="zh-CN"/>
        </w:rPr>
        <w:t>人。</w:t>
      </w:r>
      <w:r>
        <w:rPr>
          <w:rFonts w:hint="eastAsia" w:ascii="仿宋" w:hAnsi="仿宋" w:eastAsia="仿宋"/>
          <w:color w:val="auto"/>
          <w:sz w:val="32"/>
          <w:szCs w:val="32"/>
          <w:lang w:eastAsia="zh-CN"/>
        </w:rP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w:t>
      </w:r>
      <w:r>
        <w:rPr>
          <w:rFonts w:hint="eastAsia" w:ascii="仿宋_GB2312" w:hAnsi="仿宋_GB2312" w:eastAsia="仿宋_GB2312" w:cs="仿宋_GB2312"/>
          <w:b/>
          <w:bCs/>
          <w:sz w:val="32"/>
          <w:szCs w:val="32"/>
          <w:lang w:eastAsia="zh-CN"/>
        </w:rPr>
        <w:t>公安局章贡分</w:t>
      </w:r>
      <w:r>
        <w:rPr>
          <w:rFonts w:hint="eastAsia" w:ascii="仿宋_GB2312" w:eastAsia="仿宋_GB2312"/>
          <w:b/>
          <w:sz w:val="32"/>
          <w:szCs w:val="30"/>
          <w:lang w:eastAsia="zh-CN"/>
        </w:rPr>
        <w:t>局</w:t>
      </w:r>
      <w:r>
        <w:fldChar w:fldCharType="end"/>
      </w:r>
      <w:r>
        <w:rPr>
          <w:rFonts w:hint="eastAsia" w:ascii="仿宋_GB2312" w:eastAsia="仿宋_GB2312"/>
          <w:b/>
          <w:sz w:val="32"/>
          <w:szCs w:val="30"/>
          <w:lang w:eastAsia="zh-CN"/>
        </w:rPr>
        <w:t>2021</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7"/>
          <w:rFonts w:ascii="仿宋" w:hAnsi="仿宋" w:eastAsia="仿宋"/>
          <w:bCs/>
          <w:sz w:val="32"/>
          <w:szCs w:val="32"/>
        </w:rPr>
      </w:pPr>
    </w:p>
    <w:p>
      <w:pPr>
        <w:widowControl/>
        <w:spacing w:line="580" w:lineRule="exact"/>
        <w:jc w:val="center"/>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赣州市</w:t>
      </w:r>
      <w:r>
        <w:rPr>
          <w:rFonts w:hint="eastAsia" w:ascii="仿宋_GB2312" w:hAnsi="仿宋_GB2312" w:eastAsia="仿宋_GB2312" w:cs="仿宋_GB2312"/>
          <w:b/>
          <w:bCs/>
          <w:sz w:val="32"/>
          <w:szCs w:val="32"/>
          <w:lang w:eastAsia="zh-CN"/>
        </w:rPr>
        <w:t>公安局章贡分</w:t>
      </w:r>
      <w:r>
        <w:rPr>
          <w:rFonts w:hint="eastAsia" w:ascii="仿宋_GB2312" w:eastAsia="仿宋_GB2312"/>
          <w:b/>
          <w:sz w:val="32"/>
          <w:szCs w:val="30"/>
          <w:lang w:eastAsia="zh-CN"/>
        </w:rPr>
        <w:t>局</w:t>
      </w:r>
      <w:r>
        <w:fldChar w:fldCharType="end"/>
      </w:r>
      <w:r>
        <w:rPr>
          <w:rFonts w:hint="eastAsia" w:ascii="仿宋_GB2312" w:eastAsia="仿宋_GB2312"/>
          <w:b/>
          <w:sz w:val="32"/>
          <w:szCs w:val="30"/>
          <w:lang w:eastAsia="zh-CN"/>
        </w:rPr>
        <w:t>2021</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w:t>
      </w:r>
      <w:r>
        <w:rPr>
          <w:rStyle w:val="7"/>
          <w:rFonts w:hint="eastAsia" w:ascii="Adobe 仿宋 Std R" w:hAnsi="Adobe 仿宋 Std R" w:eastAsia="Adobe 仿宋 Std R"/>
          <w:b/>
          <w:sz w:val="32"/>
          <w:szCs w:val="32"/>
          <w:lang w:val="en-US" w:eastAsia="zh-CN"/>
        </w:rPr>
        <w:t xml:space="preserve">  </w:t>
      </w:r>
      <w:r>
        <w:rPr>
          <w:rStyle w:val="7"/>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olor w:val="auto"/>
          <w:sz w:val="32"/>
          <w:szCs w:val="32"/>
          <w:lang w:eastAsia="zh-CN"/>
        </w:rPr>
        <w:t>2021年</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${page400644146.ds509943833_REP_JXJC_AGENCY_WZR_NAME}</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赣州市公安局章贡分局</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${page400644146.ds509943833_V_BGT_DEP_INCOME_DXQ01_ZJ}</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收入预算总额为13315.07万元,较上年预算安排增加</w:t>
      </w:r>
      <w:r>
        <w:rPr>
          <w:rFonts w:hint="eastAsia" w:ascii="仿宋" w:hAnsi="仿宋" w:eastAsia="仿宋"/>
          <w:color w:val="auto"/>
          <w:sz w:val="32"/>
          <w:szCs w:val="32"/>
          <w:lang w:val="en-US" w:eastAsia="zh-CN"/>
        </w:rPr>
        <w:t>2526.15</w:t>
      </w:r>
      <w:r>
        <w:rPr>
          <w:rFonts w:hint="eastAsia" w:ascii="仿宋" w:hAnsi="仿宋" w:eastAsia="仿宋"/>
          <w:color w:val="auto"/>
          <w:sz w:val="32"/>
          <w:szCs w:val="32"/>
          <w:lang w:eastAsia="zh-CN"/>
        </w:rPr>
        <w:t>万元</w:t>
      </w:r>
      <w:r>
        <w:rPr>
          <w:rFonts w:hint="eastAsia" w:ascii="仿宋" w:hAnsi="仿宋" w:eastAsia="仿宋"/>
          <w:color w:val="auto"/>
          <w:sz w:val="32"/>
          <w:szCs w:val="32"/>
          <w:lang w:val="en-US" w:eastAsia="zh-CN"/>
        </w:rPr>
        <w:t>,主要原因是公用经费保障标准提高以及中央补助基建资金结转下年使用</w:t>
      </w:r>
      <w:r>
        <w:rPr>
          <w:rFonts w:hint="eastAsia" w:ascii="仿宋" w:hAnsi="仿宋" w:eastAsia="仿宋"/>
          <w:color w:val="auto"/>
          <w:sz w:val="32"/>
          <w:szCs w:val="32"/>
          <w:lang w:eastAsia="zh-CN"/>
        </w:rPr>
        <w:t>;</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${page400644146.ds509943833_V_BGT_DEP_INCOME_DXQ01_SRXMMX}</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财政拨款收入10532.45万元,较上年预算安排增加</w:t>
      </w:r>
      <w:r>
        <w:rPr>
          <w:rFonts w:hint="eastAsia" w:ascii="仿宋" w:hAnsi="仿宋" w:eastAsia="仿宋"/>
          <w:color w:val="auto"/>
          <w:sz w:val="32"/>
          <w:szCs w:val="32"/>
          <w:lang w:val="en-US" w:eastAsia="zh-CN"/>
        </w:rPr>
        <w:t>345.68</w:t>
      </w:r>
      <w:r>
        <w:rPr>
          <w:rFonts w:hint="eastAsia" w:ascii="仿宋" w:hAnsi="仿宋" w:eastAsia="仿宋"/>
          <w:color w:val="auto"/>
          <w:sz w:val="32"/>
          <w:szCs w:val="32"/>
          <w:lang w:eastAsia="zh-CN"/>
        </w:rPr>
        <w:t>万元;国库集中支付网上结转2782.62万元,较上年预算安排增加</w:t>
      </w:r>
      <w:r>
        <w:rPr>
          <w:rFonts w:hint="eastAsia" w:ascii="仿宋" w:hAnsi="仿宋" w:eastAsia="仿宋"/>
          <w:color w:val="auto"/>
          <w:sz w:val="32"/>
          <w:szCs w:val="32"/>
          <w:lang w:val="en-US" w:eastAsia="zh-CN"/>
        </w:rPr>
        <w:t>2180.47</w:t>
      </w:r>
      <w:r>
        <w:rPr>
          <w:rFonts w:hint="eastAsia" w:ascii="仿宋" w:hAnsi="仿宋" w:eastAsia="仿宋"/>
          <w:color w:val="auto"/>
          <w:sz w:val="32"/>
          <w:szCs w:val="32"/>
          <w:lang w:eastAsia="zh-CN"/>
        </w:rPr>
        <w:t>万元。</w:t>
      </w:r>
      <w:r>
        <w:rPr>
          <w:rFonts w:hint="eastAsia" w:ascii="仿宋" w:hAnsi="仿宋" w:eastAsia="仿宋"/>
          <w:color w:val="auto"/>
          <w:sz w:val="32"/>
          <w:szCs w:val="32"/>
          <w:lang w:eastAsia="zh-CN"/>
        </w:rP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(二)支出预算情况</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2021年</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${page400644146.ds215660413_REP_JXJC_AGENCY_WZR_NAME}</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赣州市公安局章贡分局</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t>支出预算总额为</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${page400644146.ds215660413_REP_BGT_T_HC1100002019_DXQ02_S_ZJ}</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支出预算总额为13315.07万元,较上年预算安排增加</w:t>
      </w:r>
      <w:r>
        <w:rPr>
          <w:rFonts w:hint="eastAsia" w:ascii="仿宋" w:hAnsi="仿宋" w:eastAsia="仿宋"/>
          <w:color w:val="auto"/>
          <w:sz w:val="32"/>
          <w:szCs w:val="32"/>
          <w:lang w:val="en-US" w:eastAsia="zh-CN"/>
        </w:rPr>
        <w:t>2526.15</w:t>
      </w:r>
      <w:r>
        <w:rPr>
          <w:rFonts w:hint="eastAsia" w:ascii="仿宋" w:hAnsi="仿宋" w:eastAsia="仿宋"/>
          <w:color w:val="auto"/>
          <w:sz w:val="32"/>
          <w:szCs w:val="32"/>
          <w:lang w:eastAsia="zh-CN"/>
        </w:rPr>
        <w:t>万元，</w:t>
      </w:r>
      <w:r>
        <w:rPr>
          <w:rFonts w:hint="eastAsia" w:ascii="仿宋" w:hAnsi="仿宋" w:eastAsia="仿宋"/>
          <w:color w:val="auto"/>
          <w:sz w:val="32"/>
          <w:szCs w:val="32"/>
          <w:lang w:val="en-US" w:eastAsia="zh-CN"/>
        </w:rPr>
        <w:t>主要原因是公用经费保障标准提高以及防疫开支、基建支出的增加</w:t>
      </w:r>
      <w:r>
        <w:rPr>
          <w:rFonts w:hint="eastAsia" w:ascii="仿宋" w:hAnsi="仿宋" w:eastAsia="仿宋"/>
          <w:color w:val="auto"/>
          <w:sz w:val="32"/>
          <w:szCs w:val="32"/>
          <w:lang w:eastAsia="zh-CN"/>
        </w:rPr>
        <w:t>;</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t>其中：</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按支出项目类别划分：</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${page400644146.ds215660413_REP_BGT_T_HC1100002019_DXQ02_JBZCQK}</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基本支出</w:t>
      </w:r>
      <w:r>
        <w:rPr>
          <w:rFonts w:hint="eastAsia" w:ascii="仿宋" w:hAnsi="仿宋" w:eastAsia="仿宋"/>
          <w:color w:val="auto"/>
          <w:sz w:val="32"/>
          <w:szCs w:val="32"/>
          <w:lang w:val="en-US" w:eastAsia="zh-CN"/>
        </w:rPr>
        <w:t>8181.32</w:t>
      </w:r>
      <w:r>
        <w:rPr>
          <w:rFonts w:hint="eastAsia" w:ascii="仿宋" w:hAnsi="仿宋" w:eastAsia="仿宋"/>
          <w:color w:val="auto"/>
          <w:sz w:val="32"/>
          <w:szCs w:val="32"/>
          <w:lang w:eastAsia="zh-CN"/>
        </w:rPr>
        <w:t>万元,较上年预算安排增加</w:t>
      </w:r>
      <w:r>
        <w:rPr>
          <w:rFonts w:hint="eastAsia" w:ascii="仿宋" w:hAnsi="仿宋" w:eastAsia="仿宋"/>
          <w:color w:val="auto"/>
          <w:sz w:val="32"/>
          <w:szCs w:val="32"/>
          <w:lang w:val="en-US" w:eastAsia="zh-CN"/>
        </w:rPr>
        <w:t>2.69</w:t>
      </w:r>
      <w:r>
        <w:rPr>
          <w:rFonts w:hint="eastAsia" w:ascii="仿宋" w:hAnsi="仿宋" w:eastAsia="仿宋"/>
          <w:color w:val="auto"/>
          <w:sz w:val="32"/>
          <w:szCs w:val="32"/>
          <w:lang w:eastAsia="zh-CN"/>
        </w:rPr>
        <w:t>万元;其中：工资福利支出5000.99万元,商品和服务支出2988.78万元,对个人和家庭的补助</w:t>
      </w:r>
      <w:r>
        <w:rPr>
          <w:rFonts w:hint="eastAsia" w:ascii="仿宋" w:hAnsi="仿宋" w:eastAsia="仿宋"/>
          <w:color w:val="auto"/>
          <w:sz w:val="32"/>
          <w:szCs w:val="32"/>
          <w:lang w:val="en-US" w:eastAsia="zh-CN"/>
        </w:rPr>
        <w:t>14.68</w:t>
      </w:r>
      <w:r>
        <w:rPr>
          <w:rFonts w:hint="eastAsia" w:ascii="仿宋" w:hAnsi="仿宋" w:eastAsia="仿宋"/>
          <w:color w:val="auto"/>
          <w:sz w:val="32"/>
          <w:szCs w:val="32"/>
          <w:lang w:eastAsia="zh-CN"/>
        </w:rPr>
        <w:t>万元。</w:t>
      </w:r>
      <w:r>
        <w:rPr>
          <w:rFonts w:hint="eastAsia" w:ascii="仿宋" w:hAnsi="仿宋" w:eastAsia="仿宋"/>
          <w:color w:val="auto"/>
          <w:sz w:val="32"/>
          <w:szCs w:val="32"/>
          <w:lang w:eastAsia="zh-CN"/>
        </w:rPr>
        <w:fldChar w:fldCharType="end"/>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${page400644146.ds215660413_REP_BGT_T_HC1100002019_DXQ02_XMZCQK}</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项目支出5133.75万元,较上年预算安排增加</w:t>
      </w:r>
      <w:r>
        <w:rPr>
          <w:rFonts w:hint="eastAsia" w:ascii="仿宋" w:hAnsi="仿宋" w:eastAsia="仿宋"/>
          <w:color w:val="auto"/>
          <w:sz w:val="32"/>
          <w:szCs w:val="32"/>
          <w:lang w:val="en-US" w:eastAsia="zh-CN"/>
        </w:rPr>
        <w:t>2523.46</w:t>
      </w:r>
      <w:r>
        <w:rPr>
          <w:rFonts w:hint="eastAsia" w:ascii="仿宋" w:hAnsi="仿宋" w:eastAsia="仿宋"/>
          <w:color w:val="auto"/>
          <w:sz w:val="32"/>
          <w:szCs w:val="32"/>
          <w:lang w:eastAsia="zh-CN"/>
        </w:rPr>
        <w:t>万元;其中：商品和服务支出5133.75万元。</w:t>
      </w:r>
      <w:r>
        <w:rPr>
          <w:rFonts w:hint="eastAsia" w:ascii="仿宋" w:hAnsi="仿宋" w:eastAsia="仿宋"/>
          <w:color w:val="auto"/>
          <w:sz w:val="32"/>
          <w:szCs w:val="32"/>
          <w:lang w:eastAsia="zh-CN"/>
        </w:rPr>
        <w:fldChar w:fldCharType="end"/>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按支出功能科目划分：</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${page400644146.ds247441498_REP_BGT_T_HC1100002019DXQ01_GNZJMX}</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一般公共服务支出</w:t>
      </w:r>
      <w:r>
        <w:rPr>
          <w:rFonts w:hint="eastAsia" w:ascii="仿宋" w:hAnsi="仿宋" w:eastAsia="仿宋"/>
          <w:color w:val="auto"/>
          <w:sz w:val="32"/>
          <w:szCs w:val="32"/>
          <w:lang w:val="en-US" w:eastAsia="zh-CN"/>
        </w:rPr>
        <w:t>11853.18</w:t>
      </w:r>
      <w:r>
        <w:rPr>
          <w:rFonts w:hint="eastAsia" w:ascii="仿宋" w:hAnsi="仿宋" w:eastAsia="仿宋"/>
          <w:color w:val="auto"/>
          <w:sz w:val="32"/>
          <w:szCs w:val="32"/>
          <w:lang w:eastAsia="zh-CN"/>
        </w:rPr>
        <w:t>万元,较上年预算安排增加</w:t>
      </w:r>
      <w:r>
        <w:rPr>
          <w:rFonts w:hint="eastAsia" w:ascii="仿宋" w:hAnsi="仿宋" w:eastAsia="仿宋"/>
          <w:color w:val="auto"/>
          <w:sz w:val="32"/>
          <w:szCs w:val="32"/>
          <w:lang w:val="en-US" w:eastAsia="zh-CN"/>
        </w:rPr>
        <w:t>2402.09</w:t>
      </w:r>
      <w:r>
        <w:rPr>
          <w:rFonts w:hint="eastAsia" w:ascii="仿宋" w:hAnsi="仿宋" w:eastAsia="仿宋"/>
          <w:color w:val="auto"/>
          <w:sz w:val="32"/>
          <w:szCs w:val="32"/>
          <w:lang w:eastAsia="zh-CN"/>
        </w:rPr>
        <w:t>万元;社会保障和就业支出509.49万元,较上年预算安排减少</w:t>
      </w:r>
      <w:r>
        <w:rPr>
          <w:rFonts w:hint="eastAsia" w:ascii="仿宋" w:hAnsi="仿宋" w:eastAsia="仿宋"/>
          <w:color w:val="auto"/>
          <w:sz w:val="32"/>
          <w:szCs w:val="32"/>
          <w:lang w:val="en-US" w:eastAsia="zh-CN"/>
        </w:rPr>
        <w:t>13.29</w:t>
      </w:r>
      <w:r>
        <w:rPr>
          <w:rFonts w:hint="eastAsia" w:ascii="仿宋" w:hAnsi="仿宋" w:eastAsia="仿宋"/>
          <w:color w:val="auto"/>
          <w:sz w:val="32"/>
          <w:szCs w:val="32"/>
          <w:lang w:eastAsia="zh-CN"/>
        </w:rPr>
        <w:t>万元;卫生健康支出475.33万元,较上年预算安排增加</w:t>
      </w:r>
      <w:r>
        <w:rPr>
          <w:rFonts w:hint="eastAsia" w:ascii="仿宋" w:hAnsi="仿宋" w:eastAsia="仿宋"/>
          <w:color w:val="auto"/>
          <w:sz w:val="32"/>
          <w:szCs w:val="32"/>
          <w:lang w:val="en-US" w:eastAsia="zh-CN"/>
        </w:rPr>
        <w:t>26.94</w:t>
      </w:r>
      <w:r>
        <w:rPr>
          <w:rFonts w:hint="eastAsia" w:ascii="仿宋" w:hAnsi="仿宋" w:eastAsia="仿宋"/>
          <w:color w:val="auto"/>
          <w:sz w:val="32"/>
          <w:szCs w:val="32"/>
          <w:lang w:eastAsia="zh-CN"/>
        </w:rPr>
        <w:t>万元;住房保障支出477.07万元,较上年预算安排增加</w:t>
      </w:r>
      <w:r>
        <w:rPr>
          <w:rFonts w:hint="eastAsia" w:ascii="仿宋" w:hAnsi="仿宋" w:eastAsia="仿宋"/>
          <w:color w:val="auto"/>
          <w:sz w:val="32"/>
          <w:szCs w:val="32"/>
          <w:lang w:val="en-US" w:eastAsia="zh-CN"/>
        </w:rPr>
        <w:t>110.41</w:t>
      </w:r>
      <w:r>
        <w:rPr>
          <w:rFonts w:hint="eastAsia" w:ascii="仿宋" w:hAnsi="仿宋" w:eastAsia="仿宋"/>
          <w:color w:val="auto"/>
          <w:sz w:val="32"/>
          <w:szCs w:val="32"/>
          <w:lang w:eastAsia="zh-CN"/>
        </w:rPr>
        <w:t>万元。</w:t>
      </w:r>
      <w:r>
        <w:rPr>
          <w:rFonts w:hint="eastAsia" w:ascii="仿宋" w:hAnsi="仿宋" w:eastAsia="仿宋"/>
          <w:color w:val="auto"/>
          <w:sz w:val="32"/>
          <w:szCs w:val="32"/>
          <w:lang w:eastAsia="zh-CN"/>
        </w:rPr>
        <w:fldChar w:fldCharType="end"/>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按支出经济分类划分：</w:t>
      </w:r>
      <w:r>
        <w:rPr>
          <w:rFonts w:hint="eastAsia" w:ascii="仿宋" w:hAnsi="仿宋" w:eastAsia="仿宋"/>
          <w:color w:val="auto"/>
          <w:sz w:val="32"/>
          <w:szCs w:val="32"/>
          <w:lang w:eastAsia="zh-CN"/>
        </w:rPr>
        <w:fldChar w:fldCharType="begin"/>
      </w:r>
      <w:r>
        <w:rPr>
          <w:rFonts w:hint="eastAsia" w:ascii="仿宋" w:hAnsi="仿宋" w:eastAsia="仿宋"/>
          <w:color w:val="auto"/>
          <w:sz w:val="32"/>
          <w:szCs w:val="32"/>
          <w:lang w:eastAsia="zh-CN"/>
        </w:rPr>
        <w:instrText xml:space="preserve">MERGEFIELD ${page400644146.ds247441498_REP_BGT_T_HC1100002019DXQ01_JJMX}</w:instrText>
      </w:r>
      <w:r>
        <w:rPr>
          <w:rFonts w:hint="eastAsia" w:ascii="仿宋" w:hAnsi="仿宋" w:eastAsia="仿宋"/>
          <w:color w:val="auto"/>
          <w:sz w:val="32"/>
          <w:szCs w:val="32"/>
          <w:lang w:eastAsia="zh-CN"/>
        </w:rPr>
        <w:fldChar w:fldCharType="separate"/>
      </w:r>
      <w:r>
        <w:rPr>
          <w:rFonts w:hint="eastAsia" w:ascii="仿宋" w:hAnsi="仿宋" w:eastAsia="仿宋"/>
          <w:color w:val="auto"/>
          <w:sz w:val="32"/>
          <w:szCs w:val="32"/>
          <w:lang w:eastAsia="zh-CN"/>
        </w:rPr>
        <w:t>工资福利支出5000.99万元,较上年预算安排增加</w:t>
      </w:r>
      <w:r>
        <w:rPr>
          <w:rFonts w:hint="eastAsia" w:ascii="仿宋" w:hAnsi="仿宋" w:eastAsia="仿宋"/>
          <w:color w:val="auto"/>
          <w:sz w:val="32"/>
          <w:szCs w:val="32"/>
          <w:lang w:val="en-US" w:eastAsia="zh-CN"/>
        </w:rPr>
        <w:t>298.01</w:t>
      </w:r>
      <w:r>
        <w:rPr>
          <w:rFonts w:hint="eastAsia" w:ascii="仿宋" w:hAnsi="仿宋" w:eastAsia="仿宋"/>
          <w:color w:val="auto"/>
          <w:sz w:val="32"/>
          <w:szCs w:val="32"/>
          <w:lang w:eastAsia="zh-CN"/>
        </w:rPr>
        <w:t>万元;商品和服务支出</w:t>
      </w:r>
      <w:r>
        <w:rPr>
          <w:rFonts w:hint="eastAsia" w:ascii="仿宋" w:hAnsi="仿宋" w:eastAsia="仿宋"/>
          <w:color w:val="auto"/>
          <w:sz w:val="32"/>
          <w:szCs w:val="32"/>
          <w:lang w:val="en-US" w:eastAsia="zh-CN"/>
        </w:rPr>
        <w:t>8122.53</w:t>
      </w:r>
      <w:r>
        <w:rPr>
          <w:rFonts w:hint="eastAsia" w:ascii="仿宋" w:hAnsi="仿宋" w:eastAsia="仿宋"/>
          <w:color w:val="auto"/>
          <w:sz w:val="32"/>
          <w:szCs w:val="32"/>
          <w:lang w:eastAsia="zh-CN"/>
        </w:rPr>
        <w:t>万元,较上年预算安排增加</w:t>
      </w:r>
      <w:r>
        <w:rPr>
          <w:rFonts w:hint="eastAsia" w:ascii="仿宋" w:hAnsi="仿宋" w:eastAsia="仿宋"/>
          <w:color w:val="auto"/>
          <w:sz w:val="32"/>
          <w:szCs w:val="32"/>
          <w:lang w:val="en-US" w:eastAsia="zh-CN"/>
        </w:rPr>
        <w:t>2228.71</w:t>
      </w:r>
      <w:r>
        <w:rPr>
          <w:rFonts w:hint="eastAsia" w:ascii="仿宋" w:hAnsi="仿宋" w:eastAsia="仿宋"/>
          <w:color w:val="auto"/>
          <w:sz w:val="32"/>
          <w:szCs w:val="32"/>
          <w:lang w:eastAsia="zh-CN"/>
        </w:rPr>
        <w:t>万元;对个人和家庭的补助</w:t>
      </w:r>
      <w:r>
        <w:rPr>
          <w:rFonts w:hint="eastAsia" w:ascii="仿宋" w:hAnsi="仿宋" w:eastAsia="仿宋"/>
          <w:color w:val="auto"/>
          <w:sz w:val="32"/>
          <w:szCs w:val="32"/>
          <w:lang w:val="en-US" w:eastAsia="zh-CN"/>
        </w:rPr>
        <w:t>14.68</w:t>
      </w:r>
      <w:r>
        <w:rPr>
          <w:rFonts w:hint="eastAsia" w:ascii="仿宋" w:hAnsi="仿宋" w:eastAsia="仿宋"/>
          <w:color w:val="auto"/>
          <w:sz w:val="32"/>
          <w:szCs w:val="32"/>
          <w:lang w:eastAsia="zh-CN"/>
        </w:rPr>
        <w:t>万元,较上年预算安排减少</w:t>
      </w:r>
      <w:r>
        <w:rPr>
          <w:rFonts w:hint="eastAsia" w:ascii="仿宋" w:hAnsi="仿宋" w:eastAsia="仿宋"/>
          <w:color w:val="auto"/>
          <w:sz w:val="32"/>
          <w:szCs w:val="32"/>
          <w:lang w:val="en-US" w:eastAsia="zh-CN"/>
        </w:rPr>
        <w:t>0.57</w:t>
      </w:r>
      <w:r>
        <w:rPr>
          <w:rFonts w:hint="eastAsia" w:ascii="仿宋" w:hAnsi="仿宋" w:eastAsia="仿宋"/>
          <w:color w:val="auto"/>
          <w:sz w:val="32"/>
          <w:szCs w:val="32"/>
          <w:lang w:eastAsia="zh-CN"/>
        </w:rPr>
        <w:t>万元。</w:t>
      </w:r>
      <w:r>
        <w:rPr>
          <w:rFonts w:hint="eastAsia" w:ascii="仿宋" w:hAnsi="仿宋" w:eastAsia="仿宋"/>
          <w:color w:val="auto"/>
          <w:sz w:val="32"/>
          <w:szCs w:val="32"/>
          <w:lang w:eastAsia="zh-CN"/>
        </w:rP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 xml:space="preserve"> (三)财政拨款支出情况</w:t>
      </w:r>
    </w:p>
    <w:p>
      <w:pPr>
        <w:ind w:firstLine="640" w:firstLineChars="200"/>
        <w:rPr>
          <w:rStyle w:val="7"/>
          <w:rFonts w:ascii="仿宋" w:hAnsi="仿宋" w:eastAsia="仿宋"/>
          <w:sz w:val="32"/>
          <w:szCs w:val="32"/>
        </w:rPr>
      </w:pPr>
      <w:r>
        <w:rPr>
          <w:rStyle w:val="7"/>
          <w:rFonts w:hint="eastAsia" w:ascii="仿宋" w:hAnsi="仿宋" w:eastAsia="仿宋"/>
          <w:sz w:val="32"/>
          <w:szCs w:val="32"/>
          <w:lang w:eastAsia="zh-CN"/>
        </w:rPr>
        <w:t>2021</w:t>
      </w:r>
      <w:r>
        <w:rPr>
          <w:rStyle w:val="7"/>
          <w:rFonts w:hint="eastAsia" w:ascii="仿宋" w:hAnsi="仿宋" w:eastAsia="仿宋"/>
          <w:sz w:val="32"/>
          <w:szCs w:val="32"/>
        </w:rPr>
        <w:t>年</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${page400644146.ds215660413_REP_JXJC_AGENCY_WZR_NAME}</w:instrText>
      </w:r>
      <w:r>
        <w:rPr>
          <w:rFonts w:ascii="仿宋" w:hAnsi="仿宋" w:eastAsia="仿宋"/>
          <w:sz w:val="32"/>
          <w:szCs w:val="32"/>
        </w:rPr>
        <w:fldChar w:fldCharType="separate"/>
      </w:r>
      <w:r>
        <w:rPr>
          <w:rStyle w:val="7"/>
          <w:rFonts w:hint="eastAsia" w:ascii="仿宋" w:hAnsi="仿宋" w:eastAsia="仿宋"/>
          <w:sz w:val="32"/>
          <w:szCs w:val="32"/>
          <w:lang w:eastAsia="zh-CN"/>
        </w:rPr>
        <w:t>赣州市</w:t>
      </w:r>
      <w:r>
        <w:rPr>
          <w:rFonts w:hint="eastAsia" w:ascii="仿宋" w:hAnsi="仿宋" w:eastAsia="仿宋" w:cs="Times New Roman"/>
          <w:kern w:val="0"/>
          <w:sz w:val="32"/>
          <w:szCs w:val="32"/>
          <w:lang w:eastAsia="zh-CN"/>
        </w:rPr>
        <w:t>公安局章贡分</w:t>
      </w:r>
      <w:r>
        <w:rPr>
          <w:rStyle w:val="7"/>
          <w:rFonts w:hint="eastAsia" w:ascii="仿宋" w:hAnsi="仿宋" w:eastAsia="仿宋"/>
          <w:sz w:val="32"/>
          <w:szCs w:val="32"/>
          <w:lang w:eastAsia="zh-CN"/>
        </w:rPr>
        <w:t>局</w:t>
      </w:r>
      <w:r>
        <w:fldChar w:fldCharType="end"/>
      </w:r>
      <w:r>
        <w:rPr>
          <w:rStyle w:val="7"/>
          <w:rFonts w:hint="eastAsia" w:ascii="仿宋" w:hAnsi="仿宋" w:eastAsia="仿宋"/>
          <w:sz w:val="32"/>
          <w:szCs w:val="32"/>
        </w:rPr>
        <w:t>财政拨款支出预算总额为</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Style w:val="7"/>
          <w:rFonts w:ascii="仿宋" w:hAnsi="仿宋" w:eastAsia="仿宋"/>
          <w:sz w:val="32"/>
          <w:szCs w:val="32"/>
        </w:rPr>
        <w:t>财政拨款支出预算总额</w:t>
      </w:r>
      <w:r>
        <w:rPr>
          <w:rStyle w:val="7"/>
          <w:rFonts w:hint="eastAsia" w:ascii="仿宋" w:hAnsi="仿宋" w:eastAsia="仿宋"/>
          <w:sz w:val="32"/>
          <w:szCs w:val="32"/>
        </w:rPr>
        <w:t>10532.45</w:t>
      </w:r>
      <w:r>
        <w:rPr>
          <w:rStyle w:val="7"/>
          <w:rFonts w:ascii="仿宋" w:hAnsi="仿宋" w:eastAsia="仿宋"/>
          <w:sz w:val="32"/>
          <w:szCs w:val="32"/>
        </w:rPr>
        <w:t>万元,较上年预算安排增加</w:t>
      </w:r>
      <w:r>
        <w:rPr>
          <w:rStyle w:val="7"/>
          <w:rFonts w:hint="eastAsia" w:ascii="仿宋" w:hAnsi="仿宋" w:eastAsia="仿宋"/>
          <w:sz w:val="32"/>
          <w:szCs w:val="32"/>
        </w:rPr>
        <w:t>345.68</w:t>
      </w:r>
      <w:r>
        <w:rPr>
          <w:rStyle w:val="7"/>
          <w:rFonts w:ascii="仿宋" w:hAnsi="仿宋" w:eastAsia="仿宋"/>
          <w:sz w:val="32"/>
          <w:szCs w:val="32"/>
        </w:rPr>
        <w:t>万元;</w:t>
      </w:r>
      <w:r>
        <w:fldChar w:fldCharType="end"/>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按支出功能科目划分：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Style w:val="7"/>
          <w:rFonts w:ascii="仿宋" w:hAnsi="仿宋" w:eastAsia="仿宋"/>
          <w:sz w:val="32"/>
          <w:szCs w:val="32"/>
        </w:rPr>
        <w:t>一般公共服务支出</w:t>
      </w:r>
      <w:r>
        <w:rPr>
          <w:rStyle w:val="7"/>
          <w:rFonts w:hint="eastAsia" w:ascii="仿宋" w:hAnsi="仿宋" w:eastAsia="仿宋"/>
          <w:sz w:val="32"/>
          <w:szCs w:val="32"/>
        </w:rPr>
        <w:t>9070.56</w:t>
      </w:r>
      <w:r>
        <w:rPr>
          <w:rStyle w:val="7"/>
          <w:rFonts w:ascii="仿宋" w:hAnsi="仿宋" w:eastAsia="仿宋"/>
          <w:sz w:val="32"/>
          <w:szCs w:val="32"/>
        </w:rPr>
        <w:t>万元,社会保障和就业支出</w:t>
      </w:r>
      <w:r>
        <w:rPr>
          <w:rStyle w:val="7"/>
          <w:rFonts w:hint="eastAsia" w:ascii="仿宋" w:hAnsi="仿宋" w:eastAsia="仿宋"/>
          <w:sz w:val="32"/>
          <w:szCs w:val="32"/>
        </w:rPr>
        <w:t>509.49</w:t>
      </w:r>
      <w:r>
        <w:rPr>
          <w:rStyle w:val="7"/>
          <w:rFonts w:ascii="仿宋" w:hAnsi="仿宋" w:eastAsia="仿宋"/>
          <w:sz w:val="32"/>
          <w:szCs w:val="32"/>
        </w:rPr>
        <w:t>万元,卫生健康支出</w:t>
      </w:r>
      <w:r>
        <w:rPr>
          <w:rStyle w:val="7"/>
          <w:rFonts w:hint="eastAsia" w:ascii="仿宋" w:hAnsi="仿宋" w:eastAsia="仿宋"/>
          <w:sz w:val="32"/>
          <w:szCs w:val="32"/>
        </w:rPr>
        <w:t>475.33</w:t>
      </w:r>
      <w:r>
        <w:rPr>
          <w:rStyle w:val="7"/>
          <w:rFonts w:ascii="仿宋" w:hAnsi="仿宋" w:eastAsia="仿宋"/>
          <w:sz w:val="32"/>
          <w:szCs w:val="32"/>
        </w:rPr>
        <w:t>万元,住房保障支出</w:t>
      </w:r>
      <w:r>
        <w:rPr>
          <w:rStyle w:val="7"/>
          <w:rFonts w:hint="eastAsia" w:ascii="仿宋" w:hAnsi="仿宋" w:eastAsia="仿宋"/>
          <w:sz w:val="32"/>
          <w:szCs w:val="32"/>
        </w:rPr>
        <w:t>477.07</w:t>
      </w:r>
      <w:r>
        <w:rPr>
          <w:rStyle w:val="7"/>
          <w:rFonts w:ascii="仿宋" w:hAnsi="仿宋" w:eastAsia="仿宋"/>
          <w:sz w:val="32"/>
          <w:szCs w:val="32"/>
        </w:rPr>
        <w:t>万元。</w:t>
      </w:r>
      <w:r>
        <w:fldChar w:fldCharType="end"/>
      </w:r>
    </w:p>
    <w:p>
      <w:pPr>
        <w:ind w:firstLine="640" w:firstLineChars="200"/>
        <w:rPr>
          <w:rStyle w:val="7"/>
          <w:rFonts w:ascii="仿宋" w:hAnsi="仿宋" w:eastAsia="仿宋"/>
          <w:sz w:val="32"/>
          <w:szCs w:val="32"/>
        </w:rPr>
      </w:pPr>
      <w:r>
        <w:rPr>
          <w:rStyle w:val="7"/>
          <w:rFonts w:hint="eastAsia" w:ascii="仿宋" w:hAnsi="仿宋" w:eastAsia="仿宋"/>
          <w:sz w:val="32"/>
          <w:szCs w:val="32"/>
        </w:rPr>
        <w:t>按支出项目类别划分：</w:t>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7"/>
          <w:rFonts w:ascii="仿宋" w:hAnsi="仿宋" w:eastAsia="仿宋"/>
          <w:sz w:val="32"/>
          <w:szCs w:val="32"/>
        </w:rPr>
        <w:t>基本支出</w:t>
      </w:r>
      <w:r>
        <w:rPr>
          <w:rFonts w:hint="eastAsia" w:ascii="仿宋" w:hAnsi="仿宋" w:eastAsia="仿宋" w:cs="Times New Roman"/>
          <w:kern w:val="0"/>
          <w:sz w:val="32"/>
          <w:szCs w:val="32"/>
        </w:rPr>
        <w:t>8004.45</w:t>
      </w:r>
      <w:r>
        <w:rPr>
          <w:rStyle w:val="7"/>
          <w:rFonts w:ascii="仿宋" w:hAnsi="仿宋" w:eastAsia="仿宋"/>
          <w:sz w:val="32"/>
          <w:szCs w:val="32"/>
        </w:rPr>
        <w:t>万元,较上年预算安排增加</w:t>
      </w:r>
      <w:r>
        <w:rPr>
          <w:rStyle w:val="7"/>
          <w:rFonts w:hint="eastAsia" w:ascii="仿宋" w:hAnsi="仿宋" w:eastAsia="仿宋"/>
          <w:sz w:val="32"/>
          <w:szCs w:val="32"/>
          <w:lang w:val="en-US" w:eastAsia="zh-CN"/>
        </w:rPr>
        <w:t>345.68</w:t>
      </w:r>
      <w:r>
        <w:rPr>
          <w:rStyle w:val="7"/>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5000.99</w:t>
      </w:r>
      <w:r>
        <w:rPr>
          <w:rStyle w:val="7"/>
          <w:rFonts w:ascii="仿宋" w:hAnsi="仿宋" w:eastAsia="仿宋"/>
          <w:sz w:val="32"/>
          <w:szCs w:val="32"/>
        </w:rPr>
        <w:t>万元,商品和服务支出</w:t>
      </w:r>
      <w:r>
        <w:rPr>
          <w:rFonts w:hint="eastAsia" w:ascii="仿宋" w:hAnsi="仿宋" w:eastAsia="仿宋" w:cs="Times New Roman"/>
          <w:kern w:val="0"/>
          <w:sz w:val="32"/>
          <w:szCs w:val="32"/>
          <w:lang w:val="en-US" w:eastAsia="zh-CN"/>
        </w:rPr>
        <w:t>2988.78</w:t>
      </w:r>
      <w:r>
        <w:rPr>
          <w:rStyle w:val="7"/>
          <w:rFonts w:ascii="仿宋" w:hAnsi="仿宋" w:eastAsia="仿宋"/>
          <w:sz w:val="32"/>
          <w:szCs w:val="32"/>
        </w:rPr>
        <w:t>万元,对个人和家庭的补助</w:t>
      </w:r>
      <w:r>
        <w:rPr>
          <w:rFonts w:hint="eastAsia" w:ascii="仿宋" w:hAnsi="仿宋" w:eastAsia="仿宋" w:cs="Times New Roman"/>
          <w:kern w:val="0"/>
          <w:sz w:val="32"/>
          <w:szCs w:val="32"/>
          <w:lang w:val="en-US" w:eastAsia="zh-CN"/>
        </w:rPr>
        <w:t>14.68</w:t>
      </w:r>
      <w:r>
        <w:rPr>
          <w:rStyle w:val="7"/>
          <w:rFonts w:ascii="仿宋" w:hAnsi="仿宋" w:eastAsia="仿宋"/>
          <w:sz w:val="32"/>
          <w:szCs w:val="32"/>
        </w:rPr>
        <w:t>万元。</w:t>
      </w:r>
      <w:r>
        <w:fldChar w:fldCharType="end"/>
      </w:r>
      <w:r>
        <w:rPr>
          <w:rFonts w:ascii="仿宋" w:hAnsi="仿宋" w:eastAsia="仿宋"/>
          <w:sz w:val="32"/>
          <w:szCs w:val="32"/>
        </w:rPr>
        <w:fldChar w:fldCharType="begin"/>
      </w:r>
      <w:r>
        <w:rPr>
          <w:rStyle w:val="7"/>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7"/>
          <w:rFonts w:ascii="仿宋" w:hAnsi="仿宋" w:eastAsia="仿宋"/>
          <w:sz w:val="32"/>
          <w:szCs w:val="32"/>
        </w:rPr>
        <w:t>项目支出</w:t>
      </w:r>
      <w:r>
        <w:rPr>
          <w:rFonts w:hint="eastAsia" w:ascii="仿宋" w:hAnsi="仿宋" w:eastAsia="仿宋" w:cs="Times New Roman"/>
          <w:kern w:val="0"/>
          <w:sz w:val="32"/>
          <w:szCs w:val="32"/>
          <w:lang w:val="en-US" w:eastAsia="zh-CN"/>
        </w:rPr>
        <w:t>2528</w:t>
      </w:r>
      <w:r>
        <w:rPr>
          <w:rStyle w:val="7"/>
          <w:rFonts w:ascii="仿宋" w:hAnsi="仿宋" w:eastAsia="仿宋"/>
          <w:sz w:val="32"/>
          <w:szCs w:val="32"/>
        </w:rPr>
        <w:t>万元,较上年预算安排增加（减少）</w:t>
      </w:r>
      <w:r>
        <w:rPr>
          <w:rStyle w:val="7"/>
          <w:rFonts w:hint="eastAsia" w:ascii="仿宋" w:hAnsi="仿宋" w:eastAsia="仿宋"/>
          <w:sz w:val="32"/>
          <w:szCs w:val="32"/>
          <w:lang w:val="en-US" w:eastAsia="zh-CN"/>
        </w:rPr>
        <w:t>0</w:t>
      </w:r>
      <w:r>
        <w:rPr>
          <w:rStyle w:val="7"/>
          <w:rFonts w:ascii="仿宋" w:hAnsi="仿宋" w:eastAsia="仿宋"/>
          <w:sz w:val="32"/>
          <w:szCs w:val="32"/>
        </w:rPr>
        <w:t>万元;其中：商品和服务支出</w:t>
      </w:r>
      <w:r>
        <w:rPr>
          <w:rFonts w:hint="eastAsia" w:ascii="仿宋" w:hAnsi="仿宋" w:eastAsia="仿宋" w:cs="Times New Roman"/>
          <w:kern w:val="0"/>
          <w:sz w:val="32"/>
          <w:szCs w:val="32"/>
          <w:lang w:val="en-US" w:eastAsia="zh-CN"/>
        </w:rPr>
        <w:t>2528</w:t>
      </w:r>
      <w:r>
        <w:rPr>
          <w:rStyle w:val="7"/>
          <w:rFonts w:ascii="仿宋" w:hAnsi="仿宋" w:eastAsia="仿宋"/>
          <w:sz w:val="32"/>
          <w:szCs w:val="32"/>
        </w:rPr>
        <w:t>万元。</w:t>
      </w:r>
      <w:r>
        <w:fldChar w:fldCharType="end"/>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(四)政府性基金情况</w:t>
      </w:r>
    </w:p>
    <w:p>
      <w:pPr>
        <w:ind w:firstLine="640" w:firstLineChars="200"/>
        <w:rPr>
          <w:rStyle w:val="7"/>
          <w:rFonts w:ascii="仿宋" w:hAnsi="仿宋" w:eastAsia="仿宋"/>
          <w:sz w:val="32"/>
          <w:szCs w:val="32"/>
        </w:rPr>
      </w:pPr>
      <w:r>
        <w:rPr>
          <w:rStyle w:val="7"/>
          <w:rFonts w:hint="eastAsia" w:ascii="仿宋" w:hAnsi="仿宋" w:eastAsia="仿宋"/>
          <w:sz w:val="32"/>
          <w:szCs w:val="32"/>
          <w:lang w:eastAsia="zh-CN"/>
        </w:rPr>
        <w:t>2021</w:t>
      </w:r>
      <w:r>
        <w:rPr>
          <w:rStyle w:val="7"/>
          <w:rFonts w:hint="eastAsia" w:ascii="仿宋" w:hAnsi="仿宋" w:eastAsia="仿宋"/>
          <w:sz w:val="32"/>
          <w:szCs w:val="32"/>
        </w:rPr>
        <w:t>年</w:t>
      </w:r>
      <w:r>
        <w:rPr>
          <w:rFonts w:ascii="仿宋" w:hAnsi="仿宋" w:eastAsia="仿宋"/>
          <w:sz w:val="32"/>
          <w:szCs w:val="32"/>
        </w:rPr>
        <w:fldChar w:fldCharType="begin"/>
      </w:r>
      <w:r>
        <w:rPr>
          <w:rStyle w:val="7"/>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7"/>
          <w:rFonts w:hint="eastAsia" w:ascii="仿宋" w:hAnsi="仿宋" w:eastAsia="仿宋"/>
          <w:sz w:val="32"/>
          <w:szCs w:val="32"/>
          <w:lang w:eastAsia="zh-CN"/>
        </w:rPr>
        <w:t>赣州市</w:t>
      </w:r>
      <w:r>
        <w:rPr>
          <w:rFonts w:hint="eastAsia" w:ascii="仿宋" w:hAnsi="仿宋" w:eastAsia="仿宋" w:cs="Times New Roman"/>
          <w:kern w:val="0"/>
          <w:sz w:val="32"/>
          <w:szCs w:val="32"/>
          <w:lang w:eastAsia="zh-CN"/>
        </w:rPr>
        <w:t>公安局章贡分</w:t>
      </w:r>
      <w:r>
        <w:rPr>
          <w:rStyle w:val="7"/>
          <w:rFonts w:hint="eastAsia" w:ascii="仿宋" w:hAnsi="仿宋" w:eastAsia="仿宋"/>
          <w:sz w:val="32"/>
          <w:szCs w:val="32"/>
          <w:lang w:eastAsia="zh-CN"/>
        </w:rPr>
        <w:t>局</w:t>
      </w:r>
      <w:r>
        <w:fldChar w:fldCharType="end"/>
      </w:r>
      <w:r>
        <w:rPr>
          <w:rStyle w:val="7"/>
          <w:rFonts w:hint="eastAsia" w:ascii="仿宋" w:hAnsi="仿宋" w:eastAsia="仿宋"/>
          <w:sz w:val="32"/>
          <w:szCs w:val="32"/>
        </w:rPr>
        <w:t>没有使用政府性基金预算拨款安排的支出</w:t>
      </w:r>
      <w:r>
        <w:rPr>
          <w:rStyle w:val="7"/>
          <w:rFonts w:hint="eastAsia" w:ascii="仿宋" w:hAnsi="仿宋" w:eastAsia="仿宋"/>
          <w:sz w:val="32"/>
          <w:szCs w:val="32"/>
          <w:lang w:eastAsia="zh-CN"/>
        </w:rPr>
        <w:t>。</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（五）国有资本经营情况</w:t>
      </w:r>
    </w:p>
    <w:p>
      <w:pPr>
        <w:ind w:firstLine="640" w:firstLineChars="200"/>
        <w:rPr>
          <w:rStyle w:val="7"/>
          <w:rFonts w:ascii="仿宋" w:hAnsi="仿宋" w:eastAsia="仿宋"/>
          <w:sz w:val="32"/>
          <w:szCs w:val="32"/>
        </w:rPr>
      </w:pPr>
      <w:r>
        <w:rPr>
          <w:rStyle w:val="7"/>
          <w:rFonts w:hint="eastAsia" w:ascii="仿宋" w:hAnsi="仿宋" w:eastAsia="仿宋"/>
          <w:sz w:val="32"/>
          <w:szCs w:val="32"/>
          <w:lang w:eastAsia="zh-CN"/>
        </w:rPr>
        <w:t>2021</w:t>
      </w:r>
      <w:r>
        <w:rPr>
          <w:rStyle w:val="7"/>
          <w:rFonts w:hint="eastAsia" w:ascii="仿宋" w:hAnsi="仿宋" w:eastAsia="仿宋"/>
          <w:sz w:val="32"/>
          <w:szCs w:val="32"/>
        </w:rPr>
        <w:t>年</w:t>
      </w:r>
      <w:r>
        <w:rPr>
          <w:rFonts w:ascii="仿宋" w:hAnsi="仿宋" w:eastAsia="仿宋"/>
          <w:sz w:val="32"/>
          <w:szCs w:val="32"/>
        </w:rPr>
        <w:fldChar w:fldCharType="begin"/>
      </w:r>
      <w:r>
        <w:rPr>
          <w:rStyle w:val="7"/>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7"/>
          <w:rFonts w:hint="eastAsia" w:ascii="仿宋" w:hAnsi="仿宋" w:eastAsia="仿宋"/>
          <w:sz w:val="32"/>
          <w:szCs w:val="32"/>
          <w:lang w:eastAsia="zh-CN"/>
        </w:rPr>
        <w:t>赣州市</w:t>
      </w:r>
      <w:r>
        <w:rPr>
          <w:rFonts w:hint="eastAsia" w:ascii="仿宋" w:hAnsi="仿宋" w:eastAsia="仿宋" w:cs="Times New Roman"/>
          <w:kern w:val="0"/>
          <w:sz w:val="32"/>
          <w:szCs w:val="32"/>
          <w:lang w:eastAsia="zh-CN"/>
        </w:rPr>
        <w:t>公安局章贡分</w:t>
      </w:r>
      <w:r>
        <w:rPr>
          <w:rStyle w:val="7"/>
          <w:rFonts w:hint="eastAsia" w:ascii="仿宋" w:hAnsi="仿宋" w:eastAsia="仿宋"/>
          <w:sz w:val="32"/>
          <w:szCs w:val="32"/>
          <w:lang w:eastAsia="zh-CN"/>
        </w:rPr>
        <w:t>局</w:t>
      </w:r>
      <w:r>
        <w:fldChar w:fldCharType="end"/>
      </w:r>
      <w:r>
        <w:rPr>
          <w:rStyle w:val="7"/>
          <w:rFonts w:hint="eastAsia" w:ascii="仿宋" w:hAnsi="仿宋" w:eastAsia="仿宋"/>
          <w:sz w:val="32"/>
          <w:szCs w:val="32"/>
        </w:rPr>
        <w:t>没有使用国有资本经营预算拨款安排的支出</w:t>
      </w:r>
      <w:r>
        <w:rPr>
          <w:rStyle w:val="7"/>
          <w:rFonts w:hint="eastAsia" w:ascii="仿宋" w:hAnsi="仿宋" w:eastAsia="仿宋"/>
          <w:sz w:val="32"/>
          <w:szCs w:val="32"/>
          <w:lang w:eastAsia="zh-CN"/>
        </w:rPr>
        <w:t>。</w:t>
      </w:r>
    </w:p>
    <w:p>
      <w:pPr>
        <w:ind w:firstLine="320" w:firstLineChars="100"/>
        <w:rPr>
          <w:rStyle w:val="7"/>
          <w:rFonts w:ascii="Adobe 仿宋 Std R" w:hAnsi="Adobe 仿宋 Std R" w:eastAsia="Adobe 仿宋 Std R"/>
          <w:b/>
          <w:sz w:val="32"/>
          <w:szCs w:val="32"/>
        </w:rPr>
      </w:pPr>
      <w:r>
        <w:rPr>
          <w:rStyle w:val="7"/>
          <w:rFonts w:hint="eastAsia" w:ascii="宋体" w:hAnsi="宋体" w:eastAsia="宋体"/>
          <w:b/>
          <w:sz w:val="32"/>
          <w:szCs w:val="32"/>
        </w:rPr>
        <w:t xml:space="preserve"> </w:t>
      </w:r>
      <w:r>
        <w:rPr>
          <w:rStyle w:val="7"/>
          <w:rFonts w:hint="eastAsia" w:ascii="Adobe 仿宋 Std R" w:hAnsi="Adobe 仿宋 Std R" w:eastAsia="Adobe 仿宋 Std R"/>
          <w:b/>
          <w:sz w:val="32"/>
          <w:szCs w:val="32"/>
        </w:rPr>
        <w:t>(六)机关运行经费等重要事项的说明</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2021年部门机关运行费预算2580.67万元，比2021年预算减少2.08万元，下降0.08%。</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7"/>
          <w:rFonts w:hint="eastAsia" w:ascii="仿宋" w:hAnsi="仿宋" w:eastAsia="仿宋"/>
          <w:sz w:val="32"/>
          <w:szCs w:val="32"/>
          <w:lang w:eastAsia="zh-CN"/>
        </w:rPr>
      </w:pPr>
      <w:r>
        <w:rPr>
          <w:rStyle w:val="7"/>
          <w:rFonts w:hint="eastAsia" w:ascii="Adobe 仿宋 Std R" w:hAnsi="Adobe 仿宋 Std R" w:eastAsia="Adobe 仿宋 Std R"/>
          <w:b/>
          <w:sz w:val="32"/>
          <w:szCs w:val="32"/>
        </w:rPr>
        <w:t>(七)政府采购情况</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2021年部门所属各单位政府采购总额2829万元,其中: 政府采购货物预算1749万元, 政府采购工程预算730万元, 政府采购服务预算350万元。</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(八)国有资产占有使用情况</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 xml:space="preserve">截至2021年8月31日, </w:t>
      </w:r>
      <w:r>
        <w:rPr>
          <w:rStyle w:val="7"/>
          <w:rFonts w:hint="eastAsia" w:ascii="仿宋" w:hAnsi="仿宋" w:eastAsia="仿宋"/>
          <w:sz w:val="32"/>
          <w:szCs w:val="32"/>
          <w:lang w:eastAsia="zh-CN"/>
        </w:rPr>
        <w:fldChar w:fldCharType="begin"/>
      </w:r>
      <w:r>
        <w:rPr>
          <w:rStyle w:val="7"/>
          <w:rFonts w:hint="eastAsia" w:ascii="仿宋" w:hAnsi="仿宋" w:eastAsia="仿宋"/>
          <w:sz w:val="32"/>
          <w:szCs w:val="32"/>
          <w:lang w:eastAsia="zh-CN"/>
        </w:rPr>
        <w:instrText xml:space="preserve">MERGEFIELD ${page400644146.ds532982397_REP_JX_BAS_AGENCY_INFO_ZYFRS_S_CLSYS}</w:instrText>
      </w:r>
      <w:r>
        <w:rPr>
          <w:rStyle w:val="7"/>
          <w:rFonts w:hint="eastAsia" w:ascii="仿宋" w:hAnsi="仿宋" w:eastAsia="仿宋"/>
          <w:sz w:val="32"/>
          <w:szCs w:val="32"/>
          <w:lang w:eastAsia="zh-CN"/>
        </w:rPr>
        <w:fldChar w:fldCharType="separate"/>
      </w:r>
      <w:r>
        <w:rPr>
          <w:rStyle w:val="7"/>
          <w:rFonts w:hint="eastAsia" w:ascii="仿宋" w:hAnsi="仿宋" w:eastAsia="仿宋"/>
          <w:sz w:val="32"/>
          <w:szCs w:val="32"/>
          <w:lang w:eastAsia="zh-CN"/>
        </w:rPr>
        <w:t>部门共有车辆111辆,其中：一般公务用车实有数</w:t>
      </w:r>
      <w:r>
        <w:rPr>
          <w:rStyle w:val="7"/>
          <w:rFonts w:hint="eastAsia" w:ascii="仿宋" w:hAnsi="仿宋" w:eastAsia="仿宋"/>
          <w:sz w:val="32"/>
          <w:szCs w:val="32"/>
          <w:lang w:val="en-US" w:eastAsia="zh-CN"/>
        </w:rPr>
        <w:t>0</w:t>
      </w:r>
      <w:r>
        <w:rPr>
          <w:rStyle w:val="7"/>
          <w:rFonts w:hint="eastAsia" w:ascii="仿宋" w:hAnsi="仿宋" w:eastAsia="仿宋"/>
          <w:sz w:val="32"/>
          <w:szCs w:val="32"/>
          <w:lang w:eastAsia="zh-CN"/>
        </w:rPr>
        <w:t>辆,执法执勤用车实有数111辆。</w:t>
      </w:r>
      <w:r>
        <w:rPr>
          <w:rStyle w:val="7"/>
          <w:rFonts w:hint="eastAsia" w:ascii="仿宋" w:hAnsi="仿宋" w:eastAsia="仿宋"/>
          <w:sz w:val="32"/>
          <w:szCs w:val="32"/>
          <w:lang w:eastAsia="zh-CN"/>
        </w:rPr>
        <w:fldChar w:fldCharType="end"/>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2021年部门预算安排购置车辆</w:t>
      </w:r>
      <w:r>
        <w:rPr>
          <w:rStyle w:val="7"/>
          <w:rFonts w:hint="eastAsia" w:ascii="仿宋" w:hAnsi="仿宋" w:eastAsia="仿宋"/>
          <w:sz w:val="32"/>
          <w:szCs w:val="32"/>
          <w:lang w:val="en-US" w:eastAsia="zh-CN"/>
        </w:rPr>
        <w:t>0</w:t>
      </w:r>
      <w:r>
        <w:rPr>
          <w:rStyle w:val="7"/>
          <w:rFonts w:hint="eastAsia" w:ascii="仿宋" w:hAnsi="仿宋" w:eastAsia="仿宋"/>
          <w:sz w:val="32"/>
          <w:szCs w:val="32"/>
          <w:lang w:eastAsia="zh-CN"/>
        </w:rPr>
        <w:t>辆，安排购置单位价值200万元以上大型设备具体为：无。</w:t>
      </w:r>
    </w:p>
    <w:p>
      <w:pPr>
        <w:ind w:firstLine="320" w:firstLineChars="100"/>
        <w:rPr>
          <w:rStyle w:val="7"/>
          <w:rFonts w:ascii="Adobe 仿宋 Std R" w:hAnsi="Adobe 仿宋 Std R" w:eastAsia="Adobe 仿宋 Std R"/>
          <w:b/>
          <w:sz w:val="32"/>
          <w:szCs w:val="32"/>
        </w:rPr>
      </w:pPr>
      <w:r>
        <w:rPr>
          <w:rStyle w:val="7"/>
          <w:rFonts w:hint="eastAsia" w:ascii="Adobe 仿宋 Std R" w:hAnsi="Adobe 仿宋 Std R" w:eastAsia="Adobe 仿宋 Std R"/>
          <w:b/>
          <w:sz w:val="32"/>
          <w:szCs w:val="32"/>
        </w:rPr>
        <w:t>（九）公安章贡分局专项经费项目情况说明</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1.公安章贡分局专项经费项目</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 xml:space="preserve"> （1）项目概述：为维护社会治安大局稳定，提升群众满意度、安全感，赣州市公安局章贡分局需对外招聘警务辅助人员协助警务工作。为保障辅警相关经费支出，特设立公安章贡分局专项经费项目，由财政提供相应经费指标。</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 xml:space="preserve"> （2）立项依据：根据市政府抄告招聘辅警，保障相关经费。</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val="en-US" w:eastAsia="zh-CN"/>
        </w:rPr>
        <w:t xml:space="preserve"> </w:t>
      </w:r>
      <w:r>
        <w:rPr>
          <w:rStyle w:val="7"/>
          <w:rFonts w:hint="eastAsia" w:ascii="仿宋" w:hAnsi="仿宋" w:eastAsia="仿宋"/>
          <w:sz w:val="32"/>
          <w:szCs w:val="32"/>
          <w:lang w:eastAsia="zh-CN"/>
        </w:rPr>
        <w:t>（3）实施主体：赣州市公安局章贡分局。</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val="en-US" w:eastAsia="zh-CN"/>
        </w:rPr>
        <w:t xml:space="preserve"> </w:t>
      </w:r>
      <w:r>
        <w:rPr>
          <w:rStyle w:val="7"/>
          <w:rFonts w:hint="eastAsia" w:ascii="仿宋" w:hAnsi="仿宋" w:eastAsia="仿宋"/>
          <w:sz w:val="32"/>
          <w:szCs w:val="32"/>
          <w:lang w:eastAsia="zh-CN"/>
        </w:rPr>
        <w:t>（4）实施方案：根据实际情况按要求招聘辅警，切实增加街面警力，加大巡逻密度和力度，持续做好“300秒出警圈”工作；通过开展“一标四实”等入户走访工作，有效采集各类信息、治安宣传、化解矛盾纠纷等。</w:t>
      </w:r>
    </w:p>
    <w:p>
      <w:pPr>
        <w:ind w:firstLine="640" w:firstLineChars="200"/>
        <w:rPr>
          <w:rStyle w:val="7"/>
          <w:rFonts w:hint="eastAsia" w:ascii="仿宋" w:hAnsi="仿宋" w:eastAsia="仿宋"/>
          <w:sz w:val="32"/>
          <w:szCs w:val="32"/>
          <w:lang w:val="en-US" w:eastAsia="zh-CN"/>
        </w:rPr>
      </w:pPr>
      <w:r>
        <w:rPr>
          <w:rStyle w:val="7"/>
          <w:rFonts w:hint="eastAsia" w:ascii="仿宋" w:hAnsi="仿宋" w:eastAsia="仿宋"/>
          <w:sz w:val="32"/>
          <w:szCs w:val="32"/>
          <w:lang w:eastAsia="zh-CN"/>
        </w:rPr>
        <w:t xml:space="preserve"> （5）实施周期：</w:t>
      </w:r>
      <w:r>
        <w:rPr>
          <w:rStyle w:val="7"/>
          <w:rFonts w:hint="eastAsia" w:ascii="仿宋" w:hAnsi="仿宋" w:eastAsia="仿宋"/>
          <w:sz w:val="32"/>
          <w:szCs w:val="32"/>
          <w:lang w:val="en-US" w:eastAsia="zh-CN"/>
        </w:rPr>
        <w:t>2021年1月1日-2021年12月31日。</w:t>
      </w:r>
    </w:p>
    <w:p>
      <w:pPr>
        <w:ind w:firstLine="640" w:firstLineChars="200"/>
        <w:rPr>
          <w:rStyle w:val="7"/>
          <w:rFonts w:hint="eastAsia" w:ascii="仿宋" w:hAnsi="仿宋" w:eastAsia="仿宋"/>
          <w:sz w:val="32"/>
          <w:szCs w:val="32"/>
          <w:lang w:val="en-US" w:eastAsia="zh-CN"/>
        </w:rPr>
      </w:pPr>
      <w:r>
        <w:rPr>
          <w:rStyle w:val="7"/>
          <w:rFonts w:hint="eastAsia" w:ascii="仿宋" w:hAnsi="仿宋" w:eastAsia="仿宋"/>
          <w:sz w:val="32"/>
          <w:szCs w:val="32"/>
          <w:lang w:eastAsia="zh-CN"/>
        </w:rPr>
        <w:t xml:space="preserve"> （6）年度预算安排：</w:t>
      </w:r>
      <w:r>
        <w:rPr>
          <w:rStyle w:val="7"/>
          <w:rFonts w:hint="eastAsia" w:ascii="仿宋" w:hAnsi="仿宋" w:eastAsia="仿宋"/>
          <w:sz w:val="32"/>
          <w:szCs w:val="32"/>
          <w:lang w:val="en-US" w:eastAsia="zh-CN"/>
        </w:rPr>
        <w:t>2528万元。</w:t>
      </w:r>
    </w:p>
    <w:p>
      <w:pPr>
        <w:ind w:firstLine="640" w:firstLineChars="200"/>
        <w:rPr>
          <w:rStyle w:val="7"/>
          <w:rFonts w:hint="eastAsia" w:ascii="仿宋" w:hAnsi="仿宋" w:eastAsia="仿宋"/>
          <w:sz w:val="32"/>
          <w:szCs w:val="32"/>
          <w:lang w:eastAsia="zh-CN"/>
        </w:rPr>
      </w:pPr>
      <w:r>
        <w:rPr>
          <w:rStyle w:val="7"/>
          <w:rFonts w:hint="eastAsia" w:ascii="仿宋" w:hAnsi="仿宋" w:eastAsia="仿宋"/>
          <w:sz w:val="32"/>
          <w:szCs w:val="32"/>
          <w:lang w:eastAsia="zh-CN"/>
        </w:rPr>
        <w:t xml:space="preserve"> （7）绩效目标和指标：</w:t>
      </w:r>
    </w:p>
    <w:tbl>
      <w:tblPr>
        <w:tblStyle w:val="5"/>
        <w:tblW w:w="83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69"/>
        <w:gridCol w:w="1069"/>
        <w:gridCol w:w="2789"/>
        <w:gridCol w:w="1971"/>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3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19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公安章贡分局专项经费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主管部门及代码</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赣州市公安局章贡分局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项目属性</w:t>
            </w:r>
          </w:p>
        </w:tc>
        <w:tc>
          <w:tcPr>
            <w:tcW w:w="2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经常性项目</w:t>
            </w:r>
          </w:p>
        </w:tc>
        <w:tc>
          <w:tcPr>
            <w:tcW w:w="1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项目日期范围</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年度资金总额</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其中：财政拨款</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7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3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2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进一步提升见警率、盘查率、管事率，全面提升公安机关对社会治安的动态掌控能力和水平，有效防范和打击社会面违法犯罪活动，有效应对和处置各种突发案事件，有力维护社会治安大局稳定，基本实现“发案少、秩序好、社会稳定、群众满意”的工作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辅警聘用数量（人）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&lt;=836人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日常街面巡逻人数（人）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&gt;=170人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日常应急处突力量人数（人）</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&gt;=60人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查处各类刑事、治安案件数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&gt;=600起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各类违法犯罪人员抓获数（名）</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&gt;=800名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入户走访覆盖率（%）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处置、劝访、接访非正常上访次数（件）</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&gt;=700件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出警及时率（%）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公众生活治安安全感指数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4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公安满意度（%）</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&gt;=90%</w:t>
            </w:r>
          </w:p>
        </w:tc>
      </w:tr>
    </w:tbl>
    <w:p>
      <w:pPr>
        <w:widowControl/>
        <w:spacing w:line="580" w:lineRule="exact"/>
        <w:ind w:firstLine="640"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2021</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赣州市</w:t>
      </w:r>
      <w:r>
        <w:rPr>
          <w:rFonts w:hint="eastAsia" w:ascii="仿宋" w:hAnsi="仿宋" w:eastAsia="仿宋" w:cs="Times New Roman"/>
          <w:kern w:val="0"/>
          <w:sz w:val="32"/>
          <w:szCs w:val="32"/>
          <w:lang w:eastAsia="zh-CN"/>
        </w:rPr>
        <w:t>公安局章贡分</w:t>
      </w:r>
      <w:r>
        <w:rPr>
          <w:rFonts w:hint="eastAsia" w:ascii="仿宋" w:hAnsi="仿宋" w:eastAsia="仿宋"/>
          <w:bCs/>
          <w:sz w:val="32"/>
          <w:szCs w:val="32"/>
          <w:lang w:eastAsia="zh-CN"/>
        </w:rPr>
        <w:t>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经费一般公共预算安排386万元，其中：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无预算安排</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6</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与上年持平</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_GB2312" w:hAnsi="微软雅黑" w:eastAsia="仿宋_GB2312" w:cs="仿宋_GB2312"/>
          <w:i w:val="0"/>
          <w:caps w:val="0"/>
          <w:color w:val="595959"/>
          <w:spacing w:val="0"/>
          <w:sz w:val="32"/>
          <w:szCs w:val="32"/>
          <w:shd w:val="clear" w:fill="FFFFFF"/>
        </w:rPr>
        <w:t>180</w:t>
      </w:r>
      <w:r>
        <w:rPr>
          <w:rFonts w:ascii="仿宋" w:hAnsi="仿宋" w:eastAsia="仿宋"/>
          <w:bCs/>
          <w:sz w:val="32"/>
          <w:szCs w:val="32"/>
        </w:rPr>
        <w:t>万元,比上年减</w:t>
      </w:r>
      <w:r>
        <w:rPr>
          <w:rFonts w:hint="eastAsia" w:ascii="仿宋" w:hAnsi="仿宋" w:eastAsia="仿宋"/>
          <w:bCs/>
          <w:sz w:val="32"/>
          <w:szCs w:val="32"/>
          <w:lang w:val="en-US" w:eastAsia="zh-CN"/>
        </w:rPr>
        <w:t>4</w:t>
      </w:r>
      <w:r>
        <w:rPr>
          <w:rFonts w:ascii="仿宋" w:hAnsi="仿宋" w:eastAsia="仿宋"/>
          <w:bCs/>
          <w:sz w:val="32"/>
          <w:szCs w:val="32"/>
        </w:rPr>
        <w:t>万元，主要原因是：</w:t>
      </w:r>
      <w:r>
        <w:rPr>
          <w:rFonts w:hint="eastAsia" w:ascii="仿宋" w:hAnsi="仿宋" w:eastAsia="仿宋"/>
          <w:bCs/>
          <w:sz w:val="32"/>
          <w:szCs w:val="32"/>
          <w:lang w:val="en-US" w:eastAsia="zh-CN"/>
        </w:rPr>
        <w:t>按照过紧日子文件要求压减三公经费</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100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执法执勤车辆报废更新</w:t>
      </w:r>
      <w:r>
        <w:rPr>
          <w:rFonts w:hint="eastAsia" w:ascii="仿宋" w:hAnsi="仿宋" w:eastAsia="仿宋"/>
          <w:bCs/>
          <w:sz w:val="32"/>
          <w:szCs w:val="32"/>
          <w:lang w:val="en-US" w:eastAsia="zh-CN"/>
        </w:rPr>
        <w:t>需要安排车辆更新购置经费</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Adobe 仿宋 Std R" w:cs="Times New Roman"/>
          <w:sz w:val="32"/>
          <w:szCs w:val="32"/>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bookmarkStart w:id="0" w:name="_GoBack"/>
      <w:bookmarkEnd w:id="0"/>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Pr>
        <w:rPr>
          <w:rFonts w:hint="default" w:ascii="Times New Roman" w:hAnsi="Times New Roman" w:cs="Times New Roman"/>
        </w:rPr>
      </w:pPr>
    </w:p>
    <w:p>
      <w:pPr>
        <w:rPr>
          <w:rFonts w:hint="default" w:ascii="Times New Roman" w:hAnsi="Times New Roman" w:eastAsia="宋体" w:cs="Times New Roman"/>
          <w:kern w:val="2"/>
          <w:sz w:val="21"/>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MERGEFIELD ${page400644146.ds509943833_REP_JXJC_AGENCY_WZR_NAME}</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赣州市公安局</w:t>
      </w:r>
      <w:r>
        <w:rPr>
          <w:rFonts w:hint="default"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章贡分局</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pPr>
        <w:widowControl/>
        <w:spacing w:line="600" w:lineRule="exact"/>
        <w:ind w:firstLine="640" w:firstLineChars="200"/>
        <w:jc w:val="left"/>
        <w:rPr>
          <w:rFonts w:hint="eastAsia" w:ascii="仿宋_GB2312" w:eastAsia="仿宋_GB2312"/>
          <w:color w:val="000000"/>
          <w:sz w:val="32"/>
          <w:szCs w:val="30"/>
        </w:rPr>
      </w:pP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2020400000000000000"/>
    <w:charset w:val="86"/>
    <w:family w:val="auto"/>
    <w:pitch w:val="default"/>
    <w:sig w:usb0="00000000" w:usb1="00000000" w:usb2="00000016" w:usb3="00000000" w:csb0="00060007"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F7EAC"/>
    <w:rsid w:val="04EB0E50"/>
    <w:rsid w:val="0DFD6A69"/>
    <w:rsid w:val="0E9D23BA"/>
    <w:rsid w:val="0FC3557A"/>
    <w:rsid w:val="1B976874"/>
    <w:rsid w:val="1F3A7C73"/>
    <w:rsid w:val="22A11D14"/>
    <w:rsid w:val="2999257A"/>
    <w:rsid w:val="39852C90"/>
    <w:rsid w:val="3A8D4EC7"/>
    <w:rsid w:val="40C42D13"/>
    <w:rsid w:val="42D602D2"/>
    <w:rsid w:val="471F1CBF"/>
    <w:rsid w:val="47C12BA4"/>
    <w:rsid w:val="4823379D"/>
    <w:rsid w:val="58147D8D"/>
    <w:rsid w:val="5C9D54E1"/>
    <w:rsid w:val="5CEC5E04"/>
    <w:rsid w:val="5F6F7EAC"/>
    <w:rsid w:val="6D535020"/>
    <w:rsid w:val="71497AF5"/>
    <w:rsid w:val="72C201DC"/>
    <w:rsid w:val="7E0923A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rPr>
      <w:sz w:val="24"/>
    </w:rPr>
  </w:style>
  <w:style w:type="paragraph" w:customStyle="1" w:styleId="6">
    <w:name w:val="p0"/>
    <w:basedOn w:val="1"/>
    <w:qFormat/>
    <w:uiPriority w:val="0"/>
    <w:pPr>
      <w:widowControl/>
    </w:pPr>
    <w:rPr>
      <w:rFonts w:ascii="Times New Roman" w:hAnsi="Times New Roman" w:eastAsia="宋体" w:cs="Times New Roman"/>
      <w:kern w:val="0"/>
      <w:szCs w:val="21"/>
    </w:rPr>
  </w:style>
  <w:style w:type="character" w:customStyle="1" w:styleId="7">
    <w:name w:val="row_tree_level_4"/>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dcterms:modified xsi:type="dcterms:W3CDTF">2022-09-03T04:06:50Z</dcterms:modified>
  <dc:title>赣州市公安局章贡分局2021年部门预算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C2E076D7F327499688E639DCCB1DA319</vt:lpwstr>
  </property>
</Properties>
</file>